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1F74" w14:textId="77777777" w:rsidR="001775F6" w:rsidRDefault="001775F6" w:rsidP="00A904C4">
      <w:pPr>
        <w:spacing w:after="60"/>
        <w:jc w:val="center"/>
        <w:rPr>
          <w:b/>
          <w:color w:val="000000"/>
          <w:u w:val="single"/>
          <w:lang w:val="pt-BR" w:eastAsia="pt-BR"/>
        </w:rPr>
      </w:pPr>
    </w:p>
    <w:p w14:paraId="3AED1F75" w14:textId="77777777" w:rsidR="001775F6" w:rsidRDefault="001775F6" w:rsidP="00A904C4">
      <w:pPr>
        <w:spacing w:after="60"/>
        <w:jc w:val="center"/>
        <w:rPr>
          <w:b/>
          <w:color w:val="000000"/>
          <w:u w:val="single"/>
          <w:lang w:val="pt-BR" w:eastAsia="pt-BR"/>
        </w:rPr>
      </w:pPr>
    </w:p>
    <w:p w14:paraId="3AED1F76" w14:textId="77777777" w:rsidR="001775F6" w:rsidRDefault="001775F6" w:rsidP="00A904C4">
      <w:pPr>
        <w:spacing w:after="60"/>
        <w:jc w:val="center"/>
        <w:rPr>
          <w:b/>
          <w:color w:val="000000"/>
          <w:u w:val="single"/>
          <w:lang w:val="pt-BR" w:eastAsia="pt-BR"/>
        </w:rPr>
      </w:pPr>
    </w:p>
    <w:p w14:paraId="3AED1F77" w14:textId="77777777" w:rsidR="00A904C4" w:rsidRPr="00A904C4" w:rsidRDefault="00A904C4" w:rsidP="00A904C4">
      <w:pPr>
        <w:spacing w:after="60"/>
        <w:jc w:val="center"/>
        <w:rPr>
          <w:b/>
          <w:color w:val="000000"/>
          <w:u w:val="single"/>
          <w:lang w:val="pt-BR" w:eastAsia="pt-BR"/>
        </w:rPr>
      </w:pPr>
      <w:r w:rsidRPr="00A904C4">
        <w:rPr>
          <w:b/>
          <w:color w:val="000000"/>
          <w:u w:val="single"/>
          <w:lang w:val="pt-BR" w:eastAsia="pt-BR"/>
        </w:rPr>
        <w:t xml:space="preserve">Manual de Risco da </w:t>
      </w:r>
      <w:r w:rsidR="00F9664B">
        <w:rPr>
          <w:b/>
          <w:color w:val="000000"/>
          <w:u w:val="single"/>
          <w:lang w:val="pt-BR" w:eastAsia="pt-BR"/>
        </w:rPr>
        <w:t>Brado</w:t>
      </w:r>
      <w:r w:rsidRPr="00A904C4">
        <w:rPr>
          <w:b/>
          <w:color w:val="000000"/>
          <w:u w:val="single"/>
          <w:lang w:val="pt-BR" w:eastAsia="pt-BR"/>
        </w:rPr>
        <w:t xml:space="preserve"> Capital</w:t>
      </w:r>
    </w:p>
    <w:p w14:paraId="3AED1F78" w14:textId="77777777" w:rsidR="00A904C4" w:rsidRPr="00A904C4" w:rsidRDefault="00A904C4" w:rsidP="00A904C4">
      <w:pPr>
        <w:spacing w:after="60"/>
        <w:jc w:val="both"/>
        <w:rPr>
          <w:b/>
          <w:color w:val="000000"/>
          <w:u w:val="single"/>
          <w:lang w:val="pt-BR" w:eastAsia="pt-BR"/>
        </w:rPr>
      </w:pPr>
    </w:p>
    <w:p w14:paraId="3AED1F79" w14:textId="77777777" w:rsidR="00A904C4" w:rsidRPr="00A904C4" w:rsidRDefault="00A904C4" w:rsidP="00A904C4">
      <w:pPr>
        <w:spacing w:after="60"/>
        <w:jc w:val="both"/>
        <w:rPr>
          <w:b/>
          <w:color w:val="000000"/>
          <w:u w:val="single"/>
          <w:lang w:val="pt-BR" w:eastAsia="pt-BR"/>
        </w:rPr>
      </w:pPr>
    </w:p>
    <w:p w14:paraId="3AED1F7A" w14:textId="77777777" w:rsidR="00A904C4" w:rsidRPr="00A904C4" w:rsidRDefault="00A904C4" w:rsidP="00A904C4">
      <w:pPr>
        <w:spacing w:after="60"/>
        <w:jc w:val="both"/>
        <w:rPr>
          <w:b/>
          <w:color w:val="000000"/>
          <w:u w:val="single"/>
          <w:lang w:val="pt-BR" w:eastAsia="pt-BR"/>
        </w:rPr>
      </w:pPr>
    </w:p>
    <w:p w14:paraId="3AED1F7B" w14:textId="77777777" w:rsidR="00A904C4" w:rsidRPr="00A904C4" w:rsidRDefault="00A904C4" w:rsidP="00A904C4">
      <w:pPr>
        <w:spacing w:after="60"/>
        <w:jc w:val="both"/>
        <w:rPr>
          <w:b/>
          <w:color w:val="000000"/>
          <w:u w:val="single"/>
          <w:lang w:val="pt-BR" w:eastAsia="pt-BR"/>
        </w:rPr>
      </w:pPr>
    </w:p>
    <w:p w14:paraId="3AED1F7C" w14:textId="77777777" w:rsidR="00A904C4" w:rsidRPr="00A904C4" w:rsidRDefault="00A904C4" w:rsidP="00A904C4">
      <w:pPr>
        <w:spacing w:after="60"/>
        <w:jc w:val="both"/>
        <w:rPr>
          <w:b/>
          <w:color w:val="000000"/>
          <w:u w:val="single"/>
          <w:lang w:val="pt-BR" w:eastAsia="pt-BR"/>
        </w:rPr>
      </w:pPr>
      <w:r w:rsidRPr="00A904C4">
        <w:rPr>
          <w:b/>
          <w:color w:val="000000"/>
          <w:u w:val="single"/>
          <w:lang w:val="pt-BR" w:eastAsia="pt-BR"/>
        </w:rPr>
        <w:t>Introdução</w:t>
      </w:r>
    </w:p>
    <w:p w14:paraId="3AED1F7D" w14:textId="77777777" w:rsidR="00A904C4" w:rsidRPr="00A904C4" w:rsidRDefault="00A904C4" w:rsidP="00A904C4">
      <w:pPr>
        <w:spacing w:after="60"/>
        <w:jc w:val="both"/>
        <w:rPr>
          <w:color w:val="000000"/>
          <w:lang w:val="pt-BR" w:eastAsia="pt-BR"/>
        </w:rPr>
      </w:pPr>
    </w:p>
    <w:p w14:paraId="3AED1F7E" w14:textId="77777777" w:rsidR="00A904C4" w:rsidRPr="00A904C4" w:rsidRDefault="00A904C4" w:rsidP="00A904C4">
      <w:pPr>
        <w:spacing w:after="60"/>
        <w:jc w:val="both"/>
        <w:rPr>
          <w:color w:val="000000"/>
          <w:lang w:val="pt-BR" w:eastAsia="pt-BR"/>
        </w:rPr>
      </w:pPr>
      <w:r w:rsidRPr="00A904C4">
        <w:rPr>
          <w:color w:val="000000"/>
          <w:lang w:val="pt-BR" w:eastAsia="pt-BR"/>
        </w:rPr>
        <w:t xml:space="preserve">O objetivo desse Manual é apresentar a metodologia utilizada no gerenciamento dos diversos riscos envolvidos nas atividades de administração de carteiras e de fundos de investimento (portfólios) exercidas pela </w:t>
      </w:r>
      <w:r w:rsidR="00F9664B">
        <w:rPr>
          <w:color w:val="000000"/>
          <w:lang w:val="pt-BR" w:eastAsia="pt-BR"/>
        </w:rPr>
        <w:t>Brado</w:t>
      </w:r>
      <w:r w:rsidRPr="00A904C4">
        <w:rPr>
          <w:color w:val="000000"/>
          <w:lang w:val="pt-BR" w:eastAsia="pt-BR"/>
        </w:rPr>
        <w:t xml:space="preserve"> Capital. Ele engloba a definição (a) das metodologias para mensurar os riscos, (b) dos processos para definir os limites dos diversos riscos, (c) dos processos para checar se os riscos existentes estão dentro dos limites definidos, (d) dos procedimentos a serem adotados caso algum risco exceda o limite estabelecido e (e) das áreas responsáveis pelas diversas funções envolvidas aqui.</w:t>
      </w:r>
    </w:p>
    <w:p w14:paraId="3AED1F7F" w14:textId="77777777" w:rsidR="00A904C4" w:rsidRPr="00A904C4" w:rsidRDefault="00A904C4" w:rsidP="00A904C4">
      <w:pPr>
        <w:spacing w:after="60"/>
        <w:jc w:val="both"/>
        <w:rPr>
          <w:color w:val="000000"/>
          <w:lang w:val="pt-BR" w:eastAsia="pt-BR"/>
        </w:rPr>
      </w:pPr>
    </w:p>
    <w:p w14:paraId="3AED1F80" w14:textId="77777777" w:rsidR="00A904C4" w:rsidRPr="00A904C4" w:rsidRDefault="00A904C4" w:rsidP="00A904C4">
      <w:pPr>
        <w:spacing w:after="60"/>
        <w:jc w:val="both"/>
        <w:rPr>
          <w:color w:val="000000"/>
          <w:lang w:val="pt-BR" w:eastAsia="pt-BR"/>
        </w:rPr>
      </w:pPr>
      <w:r w:rsidRPr="00A904C4">
        <w:rPr>
          <w:color w:val="000000"/>
          <w:lang w:val="pt-BR" w:eastAsia="pt-BR"/>
        </w:rPr>
        <w:t>Os riscos abordados por esse Manual são: (i) riscos de crédito</w:t>
      </w:r>
      <w:r w:rsidR="003B203C">
        <w:rPr>
          <w:color w:val="000000"/>
          <w:lang w:val="pt-BR" w:eastAsia="pt-BR"/>
        </w:rPr>
        <w:t xml:space="preserve"> e de contraparte</w:t>
      </w:r>
      <w:r w:rsidRPr="00A904C4">
        <w:rPr>
          <w:color w:val="000000"/>
          <w:lang w:val="pt-BR" w:eastAsia="pt-BR"/>
        </w:rPr>
        <w:t>, (</w:t>
      </w:r>
      <w:proofErr w:type="spellStart"/>
      <w:r w:rsidRPr="00A904C4">
        <w:rPr>
          <w:color w:val="000000"/>
          <w:lang w:val="pt-BR" w:eastAsia="pt-BR"/>
        </w:rPr>
        <w:t>ii</w:t>
      </w:r>
      <w:proofErr w:type="spellEnd"/>
      <w:r w:rsidRPr="00A904C4">
        <w:rPr>
          <w:color w:val="000000"/>
          <w:lang w:val="pt-BR" w:eastAsia="pt-BR"/>
        </w:rPr>
        <w:t>) riscos de mercado, (</w:t>
      </w:r>
      <w:proofErr w:type="spellStart"/>
      <w:r w:rsidRPr="00A904C4">
        <w:rPr>
          <w:color w:val="000000"/>
          <w:lang w:val="pt-BR" w:eastAsia="pt-BR"/>
        </w:rPr>
        <w:t>iii</w:t>
      </w:r>
      <w:proofErr w:type="spellEnd"/>
      <w:r w:rsidRPr="00A904C4">
        <w:rPr>
          <w:color w:val="000000"/>
          <w:lang w:val="pt-BR" w:eastAsia="pt-BR"/>
        </w:rPr>
        <w:t>) riscos de liquidez e (</w:t>
      </w:r>
      <w:proofErr w:type="spellStart"/>
      <w:r w:rsidRPr="00A904C4">
        <w:rPr>
          <w:color w:val="000000"/>
          <w:lang w:val="pt-BR" w:eastAsia="pt-BR"/>
        </w:rPr>
        <w:t>iv</w:t>
      </w:r>
      <w:proofErr w:type="spellEnd"/>
      <w:r w:rsidRPr="00A904C4">
        <w:rPr>
          <w:color w:val="000000"/>
          <w:lang w:val="pt-BR" w:eastAsia="pt-BR"/>
        </w:rPr>
        <w:t xml:space="preserve">) riscos operacionais. </w:t>
      </w:r>
    </w:p>
    <w:p w14:paraId="3AED1F81" w14:textId="77777777" w:rsidR="00A904C4" w:rsidRPr="00A904C4" w:rsidRDefault="00A904C4" w:rsidP="00A904C4">
      <w:pPr>
        <w:spacing w:after="60"/>
        <w:jc w:val="both"/>
        <w:rPr>
          <w:color w:val="000000"/>
          <w:lang w:val="pt-BR" w:eastAsia="pt-BR"/>
        </w:rPr>
      </w:pPr>
    </w:p>
    <w:p w14:paraId="3AED1F82" w14:textId="77777777" w:rsidR="00A904C4" w:rsidRPr="00A904C4" w:rsidRDefault="00A904C4" w:rsidP="00A904C4">
      <w:pPr>
        <w:spacing w:after="60"/>
        <w:jc w:val="both"/>
        <w:rPr>
          <w:color w:val="000000"/>
          <w:lang w:val="pt-BR" w:eastAsia="pt-BR"/>
        </w:rPr>
      </w:pPr>
      <w:r w:rsidRPr="00A904C4">
        <w:rPr>
          <w:color w:val="000000"/>
          <w:lang w:val="pt-BR" w:eastAsia="pt-BR"/>
        </w:rPr>
        <w:t>O Manual está estruturado da seguinte forma: para cada um dos riscos (crédito</w:t>
      </w:r>
      <w:r w:rsidR="0024169D">
        <w:rPr>
          <w:color w:val="000000"/>
          <w:lang w:val="pt-BR" w:eastAsia="pt-BR"/>
        </w:rPr>
        <w:t xml:space="preserve"> </w:t>
      </w:r>
      <w:r w:rsidR="003B203C">
        <w:rPr>
          <w:color w:val="000000"/>
          <w:lang w:val="pt-BR" w:eastAsia="pt-BR"/>
        </w:rPr>
        <w:t xml:space="preserve">e </w:t>
      </w:r>
      <w:r w:rsidR="0024169D">
        <w:rPr>
          <w:color w:val="000000"/>
          <w:lang w:val="pt-BR" w:eastAsia="pt-BR"/>
        </w:rPr>
        <w:t>de contraparte,</w:t>
      </w:r>
      <w:r w:rsidRPr="00A904C4">
        <w:rPr>
          <w:color w:val="000000"/>
          <w:lang w:val="pt-BR" w:eastAsia="pt-BR"/>
        </w:rPr>
        <w:t xml:space="preserve"> mercado, liquidez e operacional), é apresentada a definição, a metodologia para a mensuração, os processos de definição dos limites e de monitoramento dos riscos e os relatórios que devem ser elaborados. Inicialmente são apresentadas as áreas envolvidas e suas atribuições.</w:t>
      </w:r>
    </w:p>
    <w:p w14:paraId="3AED1F83" w14:textId="77777777" w:rsidR="00A904C4" w:rsidRPr="00A904C4" w:rsidRDefault="00A904C4" w:rsidP="00A904C4">
      <w:pPr>
        <w:spacing w:after="60"/>
        <w:jc w:val="both"/>
        <w:rPr>
          <w:color w:val="000000"/>
          <w:lang w:val="pt-BR" w:eastAsia="pt-BR"/>
        </w:rPr>
      </w:pPr>
    </w:p>
    <w:p w14:paraId="3AED1F84" w14:textId="77777777" w:rsidR="00A904C4" w:rsidRPr="00A904C4" w:rsidRDefault="00A904C4" w:rsidP="00A904C4">
      <w:pPr>
        <w:spacing w:after="60"/>
        <w:jc w:val="both"/>
        <w:rPr>
          <w:b/>
          <w:color w:val="000000"/>
          <w:u w:val="single"/>
          <w:lang w:val="pt-BR" w:eastAsia="pt-BR"/>
        </w:rPr>
      </w:pPr>
      <w:r w:rsidRPr="00A904C4">
        <w:rPr>
          <w:b/>
          <w:color w:val="000000"/>
          <w:u w:val="single"/>
          <w:lang w:val="pt-BR" w:eastAsia="pt-BR"/>
        </w:rPr>
        <w:br w:type="page"/>
      </w:r>
    </w:p>
    <w:p w14:paraId="3AED1F85" w14:textId="77777777" w:rsidR="00AA156C" w:rsidRDefault="00AA156C" w:rsidP="00A904C4">
      <w:pPr>
        <w:spacing w:after="60"/>
        <w:jc w:val="both"/>
        <w:rPr>
          <w:b/>
          <w:color w:val="000000"/>
          <w:u w:val="single"/>
          <w:lang w:val="pt-BR" w:eastAsia="pt-BR"/>
        </w:rPr>
      </w:pPr>
    </w:p>
    <w:p w14:paraId="3AED1F86" w14:textId="77777777" w:rsidR="00A904C4" w:rsidRPr="00A904C4" w:rsidRDefault="00A904C4" w:rsidP="00A904C4">
      <w:pPr>
        <w:spacing w:after="60"/>
        <w:jc w:val="both"/>
        <w:rPr>
          <w:b/>
          <w:color w:val="000000"/>
          <w:u w:val="single"/>
          <w:lang w:val="pt-BR" w:eastAsia="pt-BR"/>
        </w:rPr>
      </w:pPr>
      <w:r w:rsidRPr="00A904C4">
        <w:rPr>
          <w:b/>
          <w:color w:val="000000"/>
          <w:u w:val="single"/>
          <w:lang w:val="pt-BR" w:eastAsia="pt-BR"/>
        </w:rPr>
        <w:t>Aspectos Gerais</w:t>
      </w:r>
    </w:p>
    <w:p w14:paraId="3AED1F87" w14:textId="77777777" w:rsidR="00A904C4" w:rsidRPr="00A904C4" w:rsidRDefault="00A904C4" w:rsidP="00A904C4">
      <w:pPr>
        <w:spacing w:after="60"/>
        <w:jc w:val="both"/>
        <w:rPr>
          <w:color w:val="000000"/>
          <w:lang w:val="pt-BR" w:eastAsia="pt-BR"/>
        </w:rPr>
      </w:pPr>
    </w:p>
    <w:p w14:paraId="3AED1F88" w14:textId="77777777" w:rsidR="00A904C4" w:rsidRPr="00A904C4" w:rsidRDefault="00A904C4" w:rsidP="00A904C4">
      <w:pPr>
        <w:spacing w:after="60"/>
        <w:jc w:val="both"/>
        <w:rPr>
          <w:b/>
          <w:color w:val="000000"/>
          <w:lang w:val="pt-BR" w:eastAsia="pt-BR"/>
        </w:rPr>
      </w:pPr>
    </w:p>
    <w:p w14:paraId="3AED1F89" w14:textId="77777777" w:rsidR="00A904C4" w:rsidRPr="00A904C4" w:rsidRDefault="00A904C4" w:rsidP="00A904C4">
      <w:pPr>
        <w:spacing w:after="60"/>
        <w:jc w:val="both"/>
        <w:rPr>
          <w:b/>
          <w:color w:val="000000"/>
          <w:lang w:val="pt-BR" w:eastAsia="pt-BR"/>
        </w:rPr>
      </w:pPr>
      <w:r w:rsidRPr="00A904C4">
        <w:rPr>
          <w:b/>
          <w:color w:val="000000"/>
          <w:lang w:val="pt-BR" w:eastAsia="pt-BR"/>
        </w:rPr>
        <w:t>Comitê de Investimentos</w:t>
      </w:r>
    </w:p>
    <w:p w14:paraId="3AED1F8A" w14:textId="77777777" w:rsidR="00A904C4" w:rsidRPr="00A904C4" w:rsidRDefault="00A904C4" w:rsidP="00A904C4">
      <w:pPr>
        <w:spacing w:after="60"/>
        <w:jc w:val="both"/>
        <w:rPr>
          <w:color w:val="000000"/>
          <w:lang w:val="pt-BR" w:eastAsia="pt-BR"/>
        </w:rPr>
      </w:pPr>
      <w:r w:rsidRPr="00A904C4">
        <w:rPr>
          <w:color w:val="000000"/>
          <w:lang w:val="pt-BR" w:eastAsia="pt-BR"/>
        </w:rPr>
        <w:t xml:space="preserve">O Comitê de Investimentos se reúne </w:t>
      </w:r>
      <w:r w:rsidR="00F9664B">
        <w:rPr>
          <w:color w:val="000000"/>
          <w:lang w:val="pt-BR" w:eastAsia="pt-BR"/>
        </w:rPr>
        <w:t xml:space="preserve">diariamente em uma reunião informal (reunião de caixa) e </w:t>
      </w:r>
      <w:r w:rsidRPr="00A904C4">
        <w:rPr>
          <w:color w:val="000000"/>
          <w:lang w:val="pt-BR" w:eastAsia="pt-BR"/>
        </w:rPr>
        <w:t xml:space="preserve">semanalmente </w:t>
      </w:r>
      <w:r w:rsidR="00F9664B">
        <w:rPr>
          <w:color w:val="000000"/>
          <w:lang w:val="pt-BR" w:eastAsia="pt-BR"/>
        </w:rPr>
        <w:t xml:space="preserve">em uma reunião formal </w:t>
      </w:r>
      <w:r w:rsidRPr="00A904C4">
        <w:rPr>
          <w:color w:val="000000"/>
          <w:lang w:val="pt-BR" w:eastAsia="pt-BR"/>
        </w:rPr>
        <w:t>e é composto pelo</w:t>
      </w:r>
      <w:r w:rsidR="003B203C">
        <w:rPr>
          <w:color w:val="000000"/>
          <w:lang w:val="pt-BR" w:eastAsia="pt-BR"/>
        </w:rPr>
        <w:t xml:space="preserve"> Diretor de Risco, </w:t>
      </w:r>
      <w:r w:rsidR="00F44CF2">
        <w:rPr>
          <w:color w:val="000000"/>
          <w:lang w:val="pt-BR" w:eastAsia="pt-BR"/>
        </w:rPr>
        <w:t>Diretor de Gestão</w:t>
      </w:r>
      <w:r w:rsidR="003B203C">
        <w:rPr>
          <w:color w:val="000000"/>
          <w:lang w:val="pt-BR" w:eastAsia="pt-BR"/>
        </w:rPr>
        <w:t xml:space="preserve"> e analistas </w:t>
      </w:r>
      <w:r w:rsidRPr="00A904C4">
        <w:rPr>
          <w:color w:val="000000"/>
          <w:lang w:val="pt-BR" w:eastAsia="pt-BR"/>
        </w:rPr>
        <w:t xml:space="preserve">da </w:t>
      </w:r>
      <w:r w:rsidR="00F9664B">
        <w:rPr>
          <w:color w:val="000000"/>
          <w:lang w:val="pt-BR" w:eastAsia="pt-BR"/>
        </w:rPr>
        <w:t>Brado Capital</w:t>
      </w:r>
      <w:r w:rsidRPr="00A904C4">
        <w:rPr>
          <w:color w:val="000000"/>
          <w:lang w:val="pt-BR" w:eastAsia="pt-BR"/>
        </w:rPr>
        <w:t>.</w:t>
      </w:r>
      <w:r w:rsidRPr="00A904C4">
        <w:rPr>
          <w:i/>
          <w:color w:val="000000"/>
          <w:lang w:val="pt-BR" w:eastAsia="pt-BR"/>
        </w:rPr>
        <w:t xml:space="preserve"> </w:t>
      </w:r>
      <w:r w:rsidRPr="00A904C4">
        <w:rPr>
          <w:rFonts w:eastAsiaTheme="minorEastAsia"/>
          <w:bCs/>
          <w:color w:val="000000" w:themeColor="text1"/>
          <w:kern w:val="24"/>
          <w:lang w:val="pt-BR" w:eastAsia="pt-BR"/>
        </w:rPr>
        <w:t xml:space="preserve">O </w:t>
      </w:r>
      <w:r w:rsidR="00F9664B">
        <w:rPr>
          <w:rFonts w:eastAsiaTheme="minorEastAsia"/>
          <w:bCs/>
          <w:color w:val="000000" w:themeColor="text1"/>
          <w:kern w:val="24"/>
          <w:lang w:val="pt-BR" w:eastAsia="pt-BR"/>
        </w:rPr>
        <w:t>C</w:t>
      </w:r>
      <w:r w:rsidRPr="00A904C4">
        <w:rPr>
          <w:rFonts w:eastAsiaTheme="minorEastAsia"/>
          <w:bCs/>
          <w:color w:val="000000" w:themeColor="text1"/>
          <w:kern w:val="24"/>
          <w:lang w:val="pt-BR" w:eastAsia="pt-BR"/>
        </w:rPr>
        <w:t>omitê de Investimento foi organizado com o objetivo de disciplinar a tomada de decisões dentro da Empresa.</w:t>
      </w:r>
      <w:r w:rsidR="00264B3F">
        <w:rPr>
          <w:rFonts w:eastAsiaTheme="minorEastAsia"/>
          <w:bCs/>
          <w:color w:val="000000" w:themeColor="text1"/>
          <w:kern w:val="24"/>
          <w:lang w:val="pt-BR" w:eastAsia="pt-BR"/>
        </w:rPr>
        <w:t xml:space="preserve"> As decisões objeto das reuniões formais semanais são registradas em </w:t>
      </w:r>
      <w:r w:rsidR="00741498">
        <w:rPr>
          <w:rFonts w:eastAsiaTheme="minorEastAsia"/>
          <w:bCs/>
          <w:color w:val="000000" w:themeColor="text1"/>
          <w:kern w:val="24"/>
          <w:lang w:val="pt-BR" w:eastAsia="pt-BR"/>
        </w:rPr>
        <w:t>planilhas e/ou relatórios</w:t>
      </w:r>
      <w:r w:rsidR="00264B3F">
        <w:rPr>
          <w:rFonts w:eastAsiaTheme="minorEastAsia"/>
          <w:bCs/>
          <w:color w:val="000000" w:themeColor="text1"/>
          <w:kern w:val="24"/>
          <w:lang w:val="pt-BR" w:eastAsia="pt-BR"/>
        </w:rPr>
        <w:t>.</w:t>
      </w:r>
    </w:p>
    <w:p w14:paraId="3AED1F8B" w14:textId="77777777" w:rsidR="00A904C4" w:rsidRPr="00A904C4" w:rsidRDefault="00A904C4" w:rsidP="00A904C4">
      <w:pPr>
        <w:spacing w:after="60"/>
        <w:jc w:val="both"/>
        <w:rPr>
          <w:color w:val="000000"/>
          <w:u w:val="single"/>
          <w:lang w:val="pt-BR" w:eastAsia="pt-BR"/>
        </w:rPr>
      </w:pPr>
    </w:p>
    <w:p w14:paraId="3AED1F8C" w14:textId="77777777" w:rsidR="00A904C4" w:rsidRPr="006B2F4F" w:rsidRDefault="00A904C4" w:rsidP="00A904C4">
      <w:pPr>
        <w:spacing w:after="60"/>
        <w:jc w:val="both"/>
        <w:rPr>
          <w:color w:val="000000"/>
          <w:u w:val="single"/>
          <w:lang w:eastAsia="pt-BR"/>
        </w:rPr>
      </w:pPr>
      <w:proofErr w:type="spellStart"/>
      <w:r w:rsidRPr="006B2F4F">
        <w:rPr>
          <w:color w:val="000000"/>
          <w:u w:val="single"/>
          <w:lang w:eastAsia="pt-BR"/>
        </w:rPr>
        <w:t>Responsabilidades</w:t>
      </w:r>
      <w:proofErr w:type="spellEnd"/>
    </w:p>
    <w:p w14:paraId="3AED1F8D" w14:textId="77777777" w:rsidR="00A904C4" w:rsidRDefault="00A904C4" w:rsidP="00A904C4">
      <w:pPr>
        <w:pStyle w:val="PargrafodaLista"/>
        <w:numPr>
          <w:ilvl w:val="0"/>
          <w:numId w:val="7"/>
        </w:numPr>
        <w:spacing w:after="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w:t>
      </w:r>
      <w:r w:rsidRPr="006B2F4F">
        <w:rPr>
          <w:rFonts w:ascii="Times New Roman" w:eastAsia="Times New Roman" w:hAnsi="Times New Roman" w:cs="Times New Roman"/>
          <w:color w:val="000000"/>
          <w:sz w:val="24"/>
          <w:szCs w:val="24"/>
          <w:lang w:eastAsia="pt-BR"/>
        </w:rPr>
        <w:t>efinir as metodologias para mensurar os diversos riscos</w:t>
      </w:r>
      <w:r>
        <w:rPr>
          <w:rFonts w:ascii="Times New Roman" w:eastAsia="Times New Roman" w:hAnsi="Times New Roman" w:cs="Times New Roman"/>
          <w:color w:val="000000"/>
          <w:sz w:val="24"/>
          <w:szCs w:val="24"/>
          <w:lang w:eastAsia="pt-BR"/>
        </w:rPr>
        <w:t>. Essas metodologias devem ser revistas a cada 24 meses ou sempre que se julgar necessário.</w:t>
      </w:r>
    </w:p>
    <w:p w14:paraId="3AED1F8E" w14:textId="77777777" w:rsidR="00A904C4" w:rsidRDefault="00A904C4" w:rsidP="00A904C4">
      <w:pPr>
        <w:pStyle w:val="PargrafodaLista"/>
        <w:numPr>
          <w:ilvl w:val="0"/>
          <w:numId w:val="7"/>
        </w:numPr>
        <w:spacing w:after="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w:t>
      </w:r>
      <w:r w:rsidRPr="006B2F4F">
        <w:rPr>
          <w:rFonts w:ascii="Times New Roman" w:eastAsia="Times New Roman" w:hAnsi="Times New Roman" w:cs="Times New Roman"/>
          <w:color w:val="000000"/>
          <w:sz w:val="24"/>
          <w:szCs w:val="24"/>
          <w:lang w:eastAsia="pt-BR"/>
        </w:rPr>
        <w:t>ef</w:t>
      </w:r>
      <w:r>
        <w:rPr>
          <w:rFonts w:ascii="Times New Roman" w:eastAsia="Times New Roman" w:hAnsi="Times New Roman" w:cs="Times New Roman"/>
          <w:color w:val="000000"/>
          <w:sz w:val="24"/>
          <w:szCs w:val="24"/>
          <w:lang w:eastAsia="pt-BR"/>
        </w:rPr>
        <w:t>inir os limites de risco para</w:t>
      </w:r>
      <w:r w:rsidRPr="006B2F4F">
        <w:rPr>
          <w:rFonts w:ascii="Times New Roman" w:eastAsia="Times New Roman" w:hAnsi="Times New Roman" w:cs="Times New Roman"/>
          <w:color w:val="000000"/>
          <w:sz w:val="24"/>
          <w:szCs w:val="24"/>
          <w:lang w:eastAsia="pt-BR"/>
        </w:rPr>
        <w:t xml:space="preserve"> cada portfólio. A definição dos limites de risco de cada portfólio deve levar em conta os produtos que devem ser negociados no portfólio, a sua rentabilidade alvo, e a tolerância a perdas de seus investidores.</w:t>
      </w:r>
      <w:r>
        <w:rPr>
          <w:rFonts w:ascii="Times New Roman" w:eastAsia="Times New Roman" w:hAnsi="Times New Roman" w:cs="Times New Roman"/>
          <w:color w:val="000000"/>
          <w:sz w:val="24"/>
          <w:szCs w:val="24"/>
          <w:lang w:eastAsia="pt-BR"/>
        </w:rPr>
        <w:t xml:space="preserve"> Esses limites devem ser revistos a cada 6 meses ou sempre que se julgar necessário. Esses limites devem sempre observar os limites legais e/ou regulatórios.</w:t>
      </w:r>
    </w:p>
    <w:p w14:paraId="3AED1F8F" w14:textId="77777777" w:rsidR="00A904C4" w:rsidRDefault="00A904C4" w:rsidP="00A904C4">
      <w:pPr>
        <w:pStyle w:val="PargrafodaLista"/>
        <w:numPr>
          <w:ilvl w:val="0"/>
          <w:numId w:val="7"/>
        </w:numPr>
        <w:spacing w:after="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Definir os cenários para o cálculo de riscos de mercado (para testes de stress).</w:t>
      </w:r>
    </w:p>
    <w:p w14:paraId="3AED1F90" w14:textId="77777777" w:rsidR="00A904C4" w:rsidRDefault="00A904C4" w:rsidP="00A904C4">
      <w:pPr>
        <w:pStyle w:val="PargrafodaLista"/>
        <w:numPr>
          <w:ilvl w:val="0"/>
          <w:numId w:val="7"/>
        </w:numPr>
        <w:spacing w:after="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Aprovar contrapartes (corretoras, bancos, </w:t>
      </w:r>
      <w:proofErr w:type="spellStart"/>
      <w:r>
        <w:rPr>
          <w:rFonts w:ascii="Times New Roman" w:eastAsia="Times New Roman" w:hAnsi="Times New Roman" w:cs="Times New Roman"/>
          <w:color w:val="000000"/>
          <w:sz w:val="24"/>
          <w:szCs w:val="24"/>
          <w:lang w:eastAsia="pt-BR"/>
        </w:rPr>
        <w:t>etc</w:t>
      </w:r>
      <w:proofErr w:type="spellEnd"/>
      <w:r>
        <w:rPr>
          <w:rFonts w:ascii="Times New Roman" w:eastAsia="Times New Roman" w:hAnsi="Times New Roman" w:cs="Times New Roman"/>
          <w:color w:val="000000"/>
          <w:sz w:val="24"/>
          <w:szCs w:val="24"/>
          <w:lang w:eastAsia="pt-BR"/>
        </w:rPr>
        <w:t>)</w:t>
      </w:r>
      <w:r w:rsidR="00264B3F">
        <w:rPr>
          <w:rFonts w:ascii="Times New Roman" w:eastAsia="Times New Roman" w:hAnsi="Times New Roman" w:cs="Times New Roman"/>
          <w:color w:val="000000"/>
          <w:sz w:val="24"/>
          <w:szCs w:val="24"/>
          <w:lang w:eastAsia="pt-BR"/>
        </w:rPr>
        <w:t xml:space="preserve">, nos termos do Manual de </w:t>
      </w:r>
      <w:proofErr w:type="spellStart"/>
      <w:r w:rsidR="00264B3F" w:rsidRPr="00BB700A">
        <w:rPr>
          <w:rFonts w:ascii="Times New Roman" w:eastAsia="Times New Roman" w:hAnsi="Times New Roman" w:cs="Times New Roman"/>
          <w:i/>
          <w:color w:val="000000"/>
          <w:sz w:val="24"/>
          <w:szCs w:val="24"/>
          <w:lang w:eastAsia="pt-BR"/>
        </w:rPr>
        <w:t>Compliance</w:t>
      </w:r>
      <w:proofErr w:type="spellEnd"/>
      <w:r w:rsidR="00264B3F">
        <w:rPr>
          <w:rFonts w:ascii="Times New Roman" w:eastAsia="Times New Roman" w:hAnsi="Times New Roman" w:cs="Times New Roman"/>
          <w:color w:val="000000"/>
          <w:sz w:val="24"/>
          <w:szCs w:val="24"/>
          <w:lang w:eastAsia="pt-BR"/>
        </w:rPr>
        <w:t xml:space="preserve"> e Código de Ética e Conduta, </w:t>
      </w:r>
      <w:r>
        <w:rPr>
          <w:rFonts w:ascii="Times New Roman" w:eastAsia="Times New Roman" w:hAnsi="Times New Roman" w:cs="Times New Roman"/>
          <w:color w:val="000000"/>
          <w:sz w:val="24"/>
          <w:szCs w:val="24"/>
          <w:lang w:eastAsia="pt-BR"/>
        </w:rPr>
        <w:t xml:space="preserve">e definir os limites de crédito para as operações com essas contrapartes, inclusive para operações de balcão </w:t>
      </w:r>
      <w:r w:rsidRPr="005323F9">
        <w:rPr>
          <w:rFonts w:ascii="Times New Roman" w:eastAsia="Times New Roman" w:hAnsi="Times New Roman" w:cs="Times New Roman"/>
          <w:color w:val="000000"/>
          <w:sz w:val="24"/>
          <w:szCs w:val="24"/>
          <w:vertAlign w:val="superscript"/>
          <w:lang w:eastAsia="pt-BR"/>
        </w:rPr>
        <w:t>(1)</w:t>
      </w:r>
      <w:r>
        <w:rPr>
          <w:rFonts w:ascii="Times New Roman" w:eastAsia="Times New Roman" w:hAnsi="Times New Roman" w:cs="Times New Roman"/>
          <w:color w:val="000000"/>
          <w:sz w:val="24"/>
          <w:szCs w:val="24"/>
          <w:lang w:eastAsia="pt-BR"/>
        </w:rPr>
        <w:t>.</w:t>
      </w:r>
      <w:r w:rsidRPr="001079F7">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Esses limites devem ser revistos a cada ano ou sempre que se julgar necessário.</w:t>
      </w:r>
    </w:p>
    <w:p w14:paraId="3AED1F91" w14:textId="77777777" w:rsidR="00A904C4" w:rsidRDefault="00A904C4" w:rsidP="00A904C4">
      <w:pPr>
        <w:pStyle w:val="PargrafodaLista"/>
        <w:numPr>
          <w:ilvl w:val="0"/>
          <w:numId w:val="7"/>
        </w:numPr>
        <w:spacing w:after="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Aprovar emissores/operações de crédito (classificá-las internamente) e definir os limites para cada portfólio </w:t>
      </w:r>
      <w:r w:rsidRPr="005323F9">
        <w:rPr>
          <w:rFonts w:ascii="Times New Roman" w:eastAsia="Times New Roman" w:hAnsi="Times New Roman" w:cs="Times New Roman"/>
          <w:color w:val="000000"/>
          <w:sz w:val="24"/>
          <w:szCs w:val="24"/>
          <w:vertAlign w:val="superscript"/>
          <w:lang w:eastAsia="pt-BR"/>
        </w:rPr>
        <w:t>(1)</w:t>
      </w:r>
      <w:r>
        <w:rPr>
          <w:rFonts w:ascii="Times New Roman" w:eastAsia="Times New Roman" w:hAnsi="Times New Roman" w:cs="Times New Roman"/>
          <w:color w:val="000000"/>
          <w:sz w:val="24"/>
          <w:szCs w:val="24"/>
          <w:lang w:eastAsia="pt-BR"/>
        </w:rPr>
        <w:t>. Esses limites devem ser revistos a cada mês (reavaliação da situação do emissor e da operação) ou sempre que se julgar necessário.</w:t>
      </w:r>
    </w:p>
    <w:p w14:paraId="3AED1F92" w14:textId="77777777" w:rsidR="00A904C4" w:rsidRPr="00A904C4" w:rsidRDefault="00A904C4" w:rsidP="00A904C4">
      <w:pPr>
        <w:spacing w:after="60"/>
        <w:jc w:val="both"/>
        <w:rPr>
          <w:color w:val="000000"/>
          <w:lang w:val="pt-BR" w:eastAsia="pt-BR"/>
        </w:rPr>
      </w:pPr>
      <w:r w:rsidRPr="00A904C4">
        <w:rPr>
          <w:color w:val="000000"/>
          <w:vertAlign w:val="superscript"/>
          <w:lang w:val="pt-BR" w:eastAsia="pt-BR"/>
        </w:rPr>
        <w:t xml:space="preserve">(1) </w:t>
      </w:r>
      <w:r w:rsidRPr="00A904C4">
        <w:rPr>
          <w:color w:val="000000"/>
          <w:lang w:val="pt-BR" w:eastAsia="pt-BR"/>
        </w:rPr>
        <w:t>Ver item “Risco de Crédito” para maior explicação dessas atribuições.</w:t>
      </w:r>
    </w:p>
    <w:p w14:paraId="3AED1F93" w14:textId="77777777" w:rsidR="00A904C4" w:rsidRPr="00A904C4" w:rsidRDefault="00A904C4" w:rsidP="00A904C4">
      <w:pPr>
        <w:spacing w:after="60"/>
        <w:jc w:val="both"/>
        <w:rPr>
          <w:b/>
          <w:color w:val="000000"/>
          <w:lang w:val="pt-BR" w:eastAsia="pt-BR"/>
        </w:rPr>
      </w:pPr>
    </w:p>
    <w:p w14:paraId="3AED1F94" w14:textId="77777777" w:rsidR="00A904C4" w:rsidRPr="00A904C4" w:rsidRDefault="00A904C4" w:rsidP="00A904C4">
      <w:pPr>
        <w:spacing w:after="60"/>
        <w:jc w:val="both"/>
        <w:rPr>
          <w:b/>
          <w:color w:val="000000"/>
          <w:lang w:val="pt-BR" w:eastAsia="pt-BR"/>
        </w:rPr>
      </w:pPr>
      <w:r w:rsidRPr="00A904C4">
        <w:rPr>
          <w:b/>
          <w:color w:val="000000"/>
          <w:lang w:val="pt-BR" w:eastAsia="pt-BR"/>
        </w:rPr>
        <w:t>D</w:t>
      </w:r>
      <w:r w:rsidR="003B203C">
        <w:rPr>
          <w:b/>
          <w:color w:val="000000"/>
          <w:lang w:val="pt-BR" w:eastAsia="pt-BR"/>
        </w:rPr>
        <w:t>iretoria</w:t>
      </w:r>
      <w:r w:rsidRPr="00A904C4">
        <w:rPr>
          <w:b/>
          <w:color w:val="000000"/>
          <w:lang w:val="pt-BR" w:eastAsia="pt-BR"/>
        </w:rPr>
        <w:t xml:space="preserve"> de Risco</w:t>
      </w:r>
    </w:p>
    <w:p w14:paraId="3AED1F95" w14:textId="77777777" w:rsidR="00A904C4" w:rsidRPr="00A904C4" w:rsidRDefault="00F9664B" w:rsidP="00A904C4">
      <w:pPr>
        <w:spacing w:after="60"/>
        <w:jc w:val="both"/>
        <w:rPr>
          <w:color w:val="000000"/>
          <w:lang w:val="pt-BR" w:eastAsia="pt-BR"/>
        </w:rPr>
      </w:pPr>
      <w:r>
        <w:rPr>
          <w:color w:val="000000"/>
          <w:lang w:val="pt-BR" w:eastAsia="pt-BR"/>
        </w:rPr>
        <w:t xml:space="preserve">O </w:t>
      </w:r>
      <w:r w:rsidR="003B203C">
        <w:rPr>
          <w:color w:val="000000"/>
          <w:lang w:val="pt-BR" w:eastAsia="pt-BR"/>
        </w:rPr>
        <w:t xml:space="preserve">Diretor </w:t>
      </w:r>
      <w:r w:rsidR="00A904C4" w:rsidRPr="00A904C4">
        <w:rPr>
          <w:color w:val="000000"/>
          <w:lang w:val="pt-BR" w:eastAsia="pt-BR"/>
        </w:rPr>
        <w:t>de Risco</w:t>
      </w:r>
      <w:r w:rsidR="003B203C">
        <w:rPr>
          <w:color w:val="000000"/>
          <w:lang w:val="pt-BR" w:eastAsia="pt-BR"/>
        </w:rPr>
        <w:t xml:space="preserve"> </w:t>
      </w:r>
      <w:r w:rsidR="003B203C" w:rsidRPr="00293A11">
        <w:rPr>
          <w:lang w:val="pt-BR"/>
        </w:rPr>
        <w:t xml:space="preserve">exerce as suas funções com independência e não pode atuar em funções relacionadas à administração de carteiras de valores mobiliários, à intermediação e distribuição ou à consultoria de valores mobiliários, ou em qualquer atividade que limite a sua independência, na </w:t>
      </w:r>
      <w:r w:rsidR="003B203C">
        <w:rPr>
          <w:lang w:val="pt-BR"/>
        </w:rPr>
        <w:t>Brado</w:t>
      </w:r>
      <w:r w:rsidR="003B203C" w:rsidRPr="00293A11">
        <w:rPr>
          <w:lang w:val="pt-BR"/>
        </w:rPr>
        <w:t xml:space="preserve"> </w:t>
      </w:r>
      <w:r w:rsidR="003B203C">
        <w:rPr>
          <w:lang w:val="pt-BR"/>
        </w:rPr>
        <w:t xml:space="preserve">Capital </w:t>
      </w:r>
      <w:r w:rsidR="003B203C" w:rsidRPr="00293A11">
        <w:rPr>
          <w:lang w:val="pt-BR"/>
        </w:rPr>
        <w:t>ou fora dela.</w:t>
      </w:r>
      <w:r w:rsidR="00A904C4" w:rsidRPr="00A904C4">
        <w:rPr>
          <w:color w:val="000000"/>
          <w:lang w:val="pt-BR" w:eastAsia="pt-BR"/>
        </w:rPr>
        <w:t xml:space="preserve"> </w:t>
      </w:r>
    </w:p>
    <w:p w14:paraId="3AED1F96" w14:textId="77777777" w:rsidR="00A904C4" w:rsidRPr="00A904C4" w:rsidRDefault="00A904C4" w:rsidP="00A904C4">
      <w:pPr>
        <w:spacing w:after="60"/>
        <w:jc w:val="both"/>
        <w:rPr>
          <w:color w:val="000000"/>
          <w:u w:val="single"/>
          <w:lang w:val="pt-BR" w:eastAsia="pt-BR"/>
        </w:rPr>
      </w:pPr>
    </w:p>
    <w:p w14:paraId="3AED1F97" w14:textId="77777777" w:rsidR="00A904C4" w:rsidRPr="006B2F4F" w:rsidRDefault="00A904C4" w:rsidP="00A904C4">
      <w:pPr>
        <w:spacing w:after="60"/>
        <w:jc w:val="both"/>
        <w:rPr>
          <w:color w:val="000000"/>
          <w:u w:val="single"/>
          <w:lang w:eastAsia="pt-BR"/>
        </w:rPr>
      </w:pPr>
      <w:proofErr w:type="spellStart"/>
      <w:r w:rsidRPr="006B2F4F">
        <w:rPr>
          <w:color w:val="000000"/>
          <w:u w:val="single"/>
          <w:lang w:eastAsia="pt-BR"/>
        </w:rPr>
        <w:t>Responsabilidades</w:t>
      </w:r>
      <w:proofErr w:type="spellEnd"/>
    </w:p>
    <w:p w14:paraId="3AED1F98" w14:textId="77777777" w:rsidR="00A904C4" w:rsidRDefault="00A904C4" w:rsidP="00A904C4">
      <w:pPr>
        <w:pStyle w:val="PargrafodaLista"/>
        <w:numPr>
          <w:ilvl w:val="0"/>
          <w:numId w:val="8"/>
        </w:numPr>
        <w:spacing w:after="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w:t>
      </w:r>
      <w:r w:rsidRPr="006B2F4F">
        <w:rPr>
          <w:rFonts w:ascii="Times New Roman" w:eastAsia="Times New Roman" w:hAnsi="Times New Roman" w:cs="Times New Roman"/>
          <w:color w:val="000000"/>
          <w:sz w:val="24"/>
          <w:szCs w:val="24"/>
          <w:lang w:eastAsia="pt-BR"/>
        </w:rPr>
        <w:t>ensurar os riscos de cada portfólio</w:t>
      </w:r>
      <w:r>
        <w:rPr>
          <w:rFonts w:ascii="Times New Roman" w:eastAsia="Times New Roman" w:hAnsi="Times New Roman" w:cs="Times New Roman"/>
          <w:color w:val="000000"/>
          <w:sz w:val="24"/>
          <w:szCs w:val="24"/>
          <w:lang w:eastAsia="pt-BR"/>
        </w:rPr>
        <w:t>.</w:t>
      </w:r>
    </w:p>
    <w:p w14:paraId="3AED1F99" w14:textId="77777777" w:rsidR="00A904C4" w:rsidRDefault="00A904C4" w:rsidP="00A904C4">
      <w:pPr>
        <w:pStyle w:val="PargrafodaLista"/>
        <w:numPr>
          <w:ilvl w:val="0"/>
          <w:numId w:val="8"/>
        </w:numPr>
        <w:spacing w:after="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w:t>
      </w:r>
      <w:r w:rsidRPr="006B2F4F">
        <w:rPr>
          <w:rFonts w:ascii="Times New Roman" w:eastAsia="Times New Roman" w:hAnsi="Times New Roman" w:cs="Times New Roman"/>
          <w:color w:val="000000"/>
          <w:sz w:val="24"/>
          <w:szCs w:val="24"/>
          <w:lang w:eastAsia="pt-BR"/>
        </w:rPr>
        <w:t xml:space="preserve">erificar se os </w:t>
      </w:r>
      <w:r>
        <w:rPr>
          <w:rFonts w:ascii="Times New Roman" w:eastAsia="Times New Roman" w:hAnsi="Times New Roman" w:cs="Times New Roman"/>
          <w:color w:val="000000"/>
          <w:sz w:val="24"/>
          <w:szCs w:val="24"/>
          <w:lang w:eastAsia="pt-BR"/>
        </w:rPr>
        <w:t xml:space="preserve">riscos </w:t>
      </w:r>
      <w:r w:rsidRPr="006B2F4F">
        <w:rPr>
          <w:rFonts w:ascii="Times New Roman" w:eastAsia="Times New Roman" w:hAnsi="Times New Roman" w:cs="Times New Roman"/>
          <w:color w:val="000000"/>
          <w:sz w:val="24"/>
          <w:szCs w:val="24"/>
          <w:lang w:eastAsia="pt-BR"/>
        </w:rPr>
        <w:t>estão dentro dos limites estabelecidos</w:t>
      </w:r>
      <w:r>
        <w:rPr>
          <w:rFonts w:ascii="Times New Roman" w:eastAsia="Times New Roman" w:hAnsi="Times New Roman" w:cs="Times New Roman"/>
          <w:color w:val="000000"/>
          <w:sz w:val="24"/>
          <w:szCs w:val="24"/>
          <w:lang w:eastAsia="pt-BR"/>
        </w:rPr>
        <w:t>.</w:t>
      </w:r>
    </w:p>
    <w:p w14:paraId="3AED1F9A" w14:textId="77777777" w:rsidR="00A904C4" w:rsidRDefault="00A904C4" w:rsidP="00A904C4">
      <w:pPr>
        <w:pStyle w:val="PargrafodaLista"/>
        <w:numPr>
          <w:ilvl w:val="0"/>
          <w:numId w:val="8"/>
        </w:numPr>
        <w:spacing w:after="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Emitir os diversos relatórios para o monitoramento dos riscos dos portfólios.</w:t>
      </w:r>
    </w:p>
    <w:p w14:paraId="3AED1F9B" w14:textId="77777777" w:rsidR="00A904C4" w:rsidRDefault="00A904C4" w:rsidP="00A904C4">
      <w:pPr>
        <w:pStyle w:val="PargrafodaLista"/>
        <w:numPr>
          <w:ilvl w:val="0"/>
          <w:numId w:val="8"/>
        </w:numPr>
        <w:spacing w:after="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Reportar para o Comitê </w:t>
      </w:r>
      <w:r w:rsidR="00F9664B">
        <w:rPr>
          <w:rFonts w:ascii="Times New Roman" w:eastAsia="Times New Roman" w:hAnsi="Times New Roman" w:cs="Times New Roman"/>
          <w:color w:val="000000"/>
          <w:sz w:val="24"/>
          <w:szCs w:val="24"/>
          <w:lang w:eastAsia="pt-BR"/>
        </w:rPr>
        <w:t xml:space="preserve">de Investimentos </w:t>
      </w:r>
      <w:r>
        <w:rPr>
          <w:rFonts w:ascii="Times New Roman" w:eastAsia="Times New Roman" w:hAnsi="Times New Roman" w:cs="Times New Roman"/>
          <w:color w:val="000000"/>
          <w:sz w:val="24"/>
          <w:szCs w:val="24"/>
          <w:lang w:eastAsia="pt-BR"/>
        </w:rPr>
        <w:t>e</w:t>
      </w:r>
      <w:r w:rsidRPr="006B2F4F">
        <w:rPr>
          <w:rFonts w:ascii="Times New Roman" w:eastAsia="Times New Roman" w:hAnsi="Times New Roman" w:cs="Times New Roman"/>
          <w:color w:val="000000"/>
          <w:sz w:val="24"/>
          <w:szCs w:val="24"/>
          <w:lang w:eastAsia="pt-BR"/>
        </w:rPr>
        <w:t>m caso de quebra de</w:t>
      </w:r>
      <w:r>
        <w:rPr>
          <w:rFonts w:ascii="Times New Roman" w:eastAsia="Times New Roman" w:hAnsi="Times New Roman" w:cs="Times New Roman"/>
          <w:color w:val="000000"/>
          <w:sz w:val="24"/>
          <w:szCs w:val="24"/>
          <w:lang w:eastAsia="pt-BR"/>
        </w:rPr>
        <w:t xml:space="preserve"> algum </w:t>
      </w:r>
      <w:r w:rsidRPr="006B2F4F">
        <w:rPr>
          <w:rFonts w:ascii="Times New Roman" w:eastAsia="Times New Roman" w:hAnsi="Times New Roman" w:cs="Times New Roman"/>
          <w:color w:val="000000"/>
          <w:sz w:val="24"/>
          <w:szCs w:val="24"/>
          <w:lang w:eastAsia="pt-BR"/>
        </w:rPr>
        <w:t>limite</w:t>
      </w:r>
      <w:r>
        <w:rPr>
          <w:rFonts w:ascii="Times New Roman" w:eastAsia="Times New Roman" w:hAnsi="Times New Roman" w:cs="Times New Roman"/>
          <w:color w:val="000000"/>
          <w:sz w:val="24"/>
          <w:szCs w:val="24"/>
          <w:lang w:eastAsia="pt-BR"/>
        </w:rPr>
        <w:t>.</w:t>
      </w:r>
    </w:p>
    <w:p w14:paraId="3AED1F9C" w14:textId="77777777" w:rsidR="00F9664B" w:rsidRPr="00AA156C" w:rsidRDefault="00A904C4" w:rsidP="00AA156C">
      <w:pPr>
        <w:pStyle w:val="PargrafodaLista"/>
        <w:numPr>
          <w:ilvl w:val="0"/>
          <w:numId w:val="8"/>
        </w:numPr>
        <w:spacing w:after="60"/>
        <w:jc w:val="both"/>
        <w:rPr>
          <w:color w:val="000000"/>
          <w:lang w:eastAsia="pt-BR"/>
        </w:rPr>
      </w:pPr>
      <w:r w:rsidRPr="00AA156C">
        <w:rPr>
          <w:rFonts w:ascii="Times New Roman" w:eastAsia="Times New Roman" w:hAnsi="Times New Roman" w:cs="Times New Roman"/>
          <w:color w:val="000000"/>
          <w:sz w:val="24"/>
          <w:szCs w:val="24"/>
          <w:lang w:eastAsia="pt-BR"/>
        </w:rPr>
        <w:lastRenderedPageBreak/>
        <w:t>Garantir que eventuais Planos de Ação para enquadrar o portfólio dentro dos limites de risco autorizados sejam prontamente executados.</w:t>
      </w:r>
    </w:p>
    <w:p w14:paraId="3AED1F9D" w14:textId="77777777" w:rsidR="00F9664B" w:rsidRDefault="00F9664B" w:rsidP="00F9664B">
      <w:pPr>
        <w:pStyle w:val="PargrafodaLista"/>
        <w:spacing w:after="60"/>
        <w:jc w:val="both"/>
        <w:rPr>
          <w:rFonts w:ascii="Times New Roman" w:eastAsia="Times New Roman" w:hAnsi="Times New Roman" w:cs="Times New Roman"/>
          <w:color w:val="000000"/>
          <w:sz w:val="24"/>
          <w:szCs w:val="24"/>
          <w:lang w:eastAsia="pt-BR"/>
        </w:rPr>
      </w:pPr>
    </w:p>
    <w:p w14:paraId="3AED1F9E" w14:textId="77777777" w:rsidR="00A904C4" w:rsidRPr="00D664B8" w:rsidRDefault="00A904C4" w:rsidP="00A904C4">
      <w:pPr>
        <w:pStyle w:val="PargrafodaLista"/>
        <w:numPr>
          <w:ilvl w:val="0"/>
          <w:numId w:val="3"/>
        </w:numPr>
        <w:spacing w:after="60"/>
        <w:jc w:val="both"/>
        <w:rPr>
          <w:rFonts w:ascii="Times New Roman" w:eastAsia="Times New Roman" w:hAnsi="Times New Roman" w:cs="Times New Roman"/>
          <w:color w:val="000000"/>
          <w:sz w:val="24"/>
          <w:szCs w:val="24"/>
          <w:lang w:eastAsia="pt-BR"/>
        </w:rPr>
      </w:pPr>
      <w:bookmarkStart w:id="0" w:name="1"/>
      <w:bookmarkEnd w:id="0"/>
      <w:r w:rsidRPr="00D664B8">
        <w:rPr>
          <w:rFonts w:ascii="Times New Roman" w:eastAsia="Times New Roman" w:hAnsi="Times New Roman" w:cs="Times New Roman"/>
          <w:b/>
          <w:bCs/>
          <w:color w:val="000000"/>
          <w:sz w:val="24"/>
          <w:szCs w:val="24"/>
          <w:lang w:eastAsia="pt-BR"/>
        </w:rPr>
        <w:t>Risco de Crédito</w:t>
      </w:r>
    </w:p>
    <w:p w14:paraId="3AED1F9F" w14:textId="77777777" w:rsidR="00A904C4" w:rsidRDefault="00A904C4" w:rsidP="00A904C4">
      <w:pPr>
        <w:pStyle w:val="SemEspaamento"/>
        <w:spacing w:after="60" w:line="276" w:lineRule="auto"/>
        <w:jc w:val="both"/>
        <w:rPr>
          <w:rFonts w:ascii="Times New Roman" w:hAnsi="Times New Roman" w:cs="Times New Roman"/>
          <w:sz w:val="24"/>
          <w:szCs w:val="24"/>
          <w:u w:val="single"/>
          <w:lang w:eastAsia="pt-BR"/>
        </w:rPr>
      </w:pPr>
    </w:p>
    <w:p w14:paraId="3AED1FA0" w14:textId="77777777" w:rsidR="00A904C4" w:rsidRPr="00C9560A" w:rsidRDefault="00A904C4" w:rsidP="00A904C4">
      <w:pPr>
        <w:pStyle w:val="SemEspaamento"/>
        <w:spacing w:after="60" w:line="276" w:lineRule="auto"/>
        <w:jc w:val="both"/>
        <w:rPr>
          <w:rFonts w:ascii="Times New Roman" w:hAnsi="Times New Roman" w:cs="Times New Roman"/>
          <w:sz w:val="24"/>
          <w:szCs w:val="24"/>
          <w:lang w:eastAsia="pt-BR"/>
        </w:rPr>
      </w:pPr>
      <w:r w:rsidRPr="00C9560A">
        <w:rPr>
          <w:rFonts w:ascii="Times New Roman" w:hAnsi="Times New Roman" w:cs="Times New Roman"/>
          <w:sz w:val="24"/>
          <w:szCs w:val="24"/>
          <w:u w:val="single"/>
          <w:lang w:eastAsia="pt-BR"/>
        </w:rPr>
        <w:t>Definição</w:t>
      </w:r>
    </w:p>
    <w:p w14:paraId="3AED1FA1" w14:textId="77777777" w:rsidR="00A904C4" w:rsidRPr="00D664B8" w:rsidRDefault="00A904C4" w:rsidP="00A904C4">
      <w:pPr>
        <w:pStyle w:val="SemEspaamento"/>
        <w:spacing w:after="60" w:line="276" w:lineRule="auto"/>
        <w:jc w:val="both"/>
        <w:rPr>
          <w:rFonts w:ascii="Times New Roman" w:hAnsi="Times New Roman" w:cs="Times New Roman"/>
          <w:sz w:val="24"/>
          <w:szCs w:val="24"/>
          <w:lang w:eastAsia="pt-BR"/>
        </w:rPr>
      </w:pPr>
      <w:r w:rsidRPr="00D664B8">
        <w:rPr>
          <w:rFonts w:ascii="Times New Roman" w:hAnsi="Times New Roman" w:cs="Times New Roman"/>
          <w:sz w:val="24"/>
          <w:szCs w:val="24"/>
          <w:lang w:eastAsia="pt-BR"/>
        </w:rPr>
        <w:t xml:space="preserve">Risco de crédito significa </w:t>
      </w:r>
      <w:r>
        <w:rPr>
          <w:rFonts w:ascii="Times New Roman" w:hAnsi="Times New Roman" w:cs="Times New Roman"/>
          <w:sz w:val="24"/>
          <w:szCs w:val="24"/>
          <w:lang w:eastAsia="pt-BR"/>
        </w:rPr>
        <w:t xml:space="preserve">(i) </w:t>
      </w:r>
      <w:r w:rsidRPr="00D664B8">
        <w:rPr>
          <w:rFonts w:ascii="Times New Roman" w:hAnsi="Times New Roman" w:cs="Times New Roman"/>
          <w:sz w:val="24"/>
          <w:szCs w:val="24"/>
          <w:lang w:eastAsia="pt-BR"/>
        </w:rPr>
        <w:t xml:space="preserve">a possibilidade de ocorrência de perdas associadas ao não cumprimento, pelo emissor/tomador ou contraparte, </w:t>
      </w:r>
      <w:r>
        <w:rPr>
          <w:rFonts w:ascii="Times New Roman" w:hAnsi="Times New Roman" w:cs="Times New Roman"/>
          <w:sz w:val="24"/>
          <w:szCs w:val="24"/>
          <w:lang w:eastAsia="pt-BR"/>
        </w:rPr>
        <w:t>d</w:t>
      </w:r>
      <w:r w:rsidRPr="00D664B8">
        <w:rPr>
          <w:rFonts w:ascii="Times New Roman" w:hAnsi="Times New Roman" w:cs="Times New Roman"/>
          <w:sz w:val="24"/>
          <w:szCs w:val="24"/>
          <w:lang w:eastAsia="pt-BR"/>
        </w:rPr>
        <w:t xml:space="preserve">e </w:t>
      </w:r>
      <w:r>
        <w:rPr>
          <w:rFonts w:ascii="Times New Roman" w:hAnsi="Times New Roman" w:cs="Times New Roman"/>
          <w:sz w:val="24"/>
          <w:szCs w:val="24"/>
          <w:lang w:eastAsia="pt-BR"/>
        </w:rPr>
        <w:t>s</w:t>
      </w:r>
      <w:r w:rsidRPr="00D664B8">
        <w:rPr>
          <w:rFonts w:ascii="Times New Roman" w:hAnsi="Times New Roman" w:cs="Times New Roman"/>
          <w:sz w:val="24"/>
          <w:szCs w:val="24"/>
          <w:lang w:eastAsia="pt-BR"/>
        </w:rPr>
        <w:t xml:space="preserve">uas respectivas obrigações financeiras nos termos pactuados, </w:t>
      </w:r>
      <w:r>
        <w:rPr>
          <w:rFonts w:ascii="Times New Roman" w:hAnsi="Times New Roman" w:cs="Times New Roman"/>
          <w:sz w:val="24"/>
          <w:szCs w:val="24"/>
          <w:lang w:eastAsia="pt-BR"/>
        </w:rPr>
        <w:t>e (</w:t>
      </w:r>
      <w:proofErr w:type="spellStart"/>
      <w:r>
        <w:rPr>
          <w:rFonts w:ascii="Times New Roman" w:hAnsi="Times New Roman" w:cs="Times New Roman"/>
          <w:sz w:val="24"/>
          <w:szCs w:val="24"/>
          <w:lang w:eastAsia="pt-BR"/>
        </w:rPr>
        <w:t>ii</w:t>
      </w:r>
      <w:proofErr w:type="spellEnd"/>
      <w:r>
        <w:rPr>
          <w:rFonts w:ascii="Times New Roman" w:hAnsi="Times New Roman" w:cs="Times New Roman"/>
          <w:sz w:val="24"/>
          <w:szCs w:val="24"/>
          <w:lang w:eastAsia="pt-BR"/>
        </w:rPr>
        <w:t>) a</w:t>
      </w:r>
      <w:r w:rsidRPr="00D664B8">
        <w:rPr>
          <w:rFonts w:ascii="Times New Roman" w:hAnsi="Times New Roman" w:cs="Times New Roman"/>
          <w:sz w:val="24"/>
          <w:szCs w:val="24"/>
          <w:lang w:eastAsia="pt-BR"/>
        </w:rPr>
        <w:t xml:space="preserve"> desvalorização do ativo decorrente da deterioração na classificação</w:t>
      </w:r>
      <w:r>
        <w:rPr>
          <w:rFonts w:ascii="Times New Roman" w:hAnsi="Times New Roman" w:cs="Times New Roman"/>
          <w:sz w:val="24"/>
          <w:szCs w:val="24"/>
          <w:lang w:eastAsia="pt-BR"/>
        </w:rPr>
        <w:t>/percepção</w:t>
      </w:r>
      <w:r w:rsidRPr="00D664B8">
        <w:rPr>
          <w:rFonts w:ascii="Times New Roman" w:hAnsi="Times New Roman" w:cs="Times New Roman"/>
          <w:sz w:val="24"/>
          <w:szCs w:val="24"/>
          <w:lang w:eastAsia="pt-BR"/>
        </w:rPr>
        <w:t xml:space="preserve"> de risco do emissor/tomador</w:t>
      </w:r>
      <w:r>
        <w:rPr>
          <w:rFonts w:ascii="Times New Roman" w:hAnsi="Times New Roman" w:cs="Times New Roman"/>
          <w:sz w:val="24"/>
          <w:szCs w:val="24"/>
          <w:lang w:eastAsia="pt-BR"/>
        </w:rPr>
        <w:t xml:space="preserve"> ou contraparte.</w:t>
      </w:r>
    </w:p>
    <w:p w14:paraId="3AED1FA2"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p>
    <w:p w14:paraId="3AED1FA3" w14:textId="77777777" w:rsidR="003B203C" w:rsidRDefault="003B203C" w:rsidP="00A904C4">
      <w:pPr>
        <w:pStyle w:val="SemEspaamento"/>
        <w:spacing w:after="60" w:line="276" w:lineRule="auto"/>
        <w:jc w:val="both"/>
        <w:rPr>
          <w:rFonts w:ascii="Times New Roman" w:hAnsi="Times New Roman" w:cs="Times New Roman"/>
          <w:sz w:val="24"/>
          <w:szCs w:val="24"/>
          <w:lang w:eastAsia="pt-BR"/>
        </w:rPr>
      </w:pPr>
      <w:r w:rsidRPr="003B203C">
        <w:rPr>
          <w:rFonts w:ascii="Times New Roman" w:hAnsi="Times New Roman" w:cs="Times New Roman"/>
          <w:sz w:val="24"/>
          <w:szCs w:val="24"/>
          <w:lang w:eastAsia="pt-BR"/>
        </w:rPr>
        <w:t>Por contraparte, entendem-se emissores, fornecedores, participantes e patrocinadores, os quais também estão diretamente ligados ao risco de crédito, razão pela qual estão sujeitos à política de gerenciamento de risco de crédito.</w:t>
      </w:r>
    </w:p>
    <w:p w14:paraId="3AED1FA4" w14:textId="77777777" w:rsidR="003B203C" w:rsidRDefault="003B203C" w:rsidP="00A904C4">
      <w:pPr>
        <w:pStyle w:val="SemEspaamento"/>
        <w:spacing w:after="60" w:line="276" w:lineRule="auto"/>
        <w:jc w:val="both"/>
        <w:rPr>
          <w:rFonts w:ascii="Times New Roman" w:hAnsi="Times New Roman" w:cs="Times New Roman"/>
          <w:sz w:val="24"/>
          <w:szCs w:val="24"/>
          <w:lang w:eastAsia="pt-BR"/>
        </w:rPr>
      </w:pPr>
    </w:p>
    <w:p w14:paraId="3AED1FA5" w14:textId="77777777" w:rsidR="003B203C" w:rsidRDefault="003B203C" w:rsidP="00A904C4">
      <w:pPr>
        <w:pStyle w:val="SemEspaamento"/>
        <w:spacing w:after="60" w:line="276" w:lineRule="auto"/>
        <w:jc w:val="both"/>
        <w:rPr>
          <w:rFonts w:ascii="Times New Roman" w:hAnsi="Times New Roman" w:cs="Times New Roman"/>
          <w:sz w:val="24"/>
          <w:szCs w:val="24"/>
          <w:lang w:eastAsia="pt-BR"/>
        </w:rPr>
      </w:pPr>
      <w:r w:rsidRPr="003B203C">
        <w:rPr>
          <w:rFonts w:ascii="Times New Roman" w:hAnsi="Times New Roman" w:cs="Times New Roman"/>
          <w:sz w:val="24"/>
          <w:szCs w:val="24"/>
          <w:lang w:eastAsia="pt-BR"/>
        </w:rPr>
        <w:t xml:space="preserve">Para todas as outras operações que não envolvem crédito, a </w:t>
      </w:r>
      <w:r w:rsidR="00A130C9">
        <w:rPr>
          <w:rFonts w:ascii="Times New Roman" w:hAnsi="Times New Roman" w:cs="Times New Roman"/>
          <w:sz w:val="24"/>
          <w:szCs w:val="24"/>
          <w:lang w:eastAsia="pt-BR"/>
        </w:rPr>
        <w:t xml:space="preserve">Brado Capital </w:t>
      </w:r>
      <w:r w:rsidRPr="003B203C">
        <w:rPr>
          <w:rFonts w:ascii="Times New Roman" w:hAnsi="Times New Roman" w:cs="Times New Roman"/>
          <w:sz w:val="24"/>
          <w:szCs w:val="24"/>
          <w:lang w:eastAsia="pt-BR"/>
        </w:rPr>
        <w:t xml:space="preserve">trabalha </w:t>
      </w:r>
      <w:proofErr w:type="gramStart"/>
      <w:r w:rsidRPr="003B203C">
        <w:rPr>
          <w:rFonts w:ascii="Times New Roman" w:hAnsi="Times New Roman" w:cs="Times New Roman"/>
          <w:sz w:val="24"/>
          <w:szCs w:val="24"/>
          <w:lang w:eastAsia="pt-BR"/>
        </w:rPr>
        <w:t>com  risco</w:t>
      </w:r>
      <w:proofErr w:type="gramEnd"/>
      <w:r w:rsidRPr="003B203C">
        <w:rPr>
          <w:rFonts w:ascii="Times New Roman" w:hAnsi="Times New Roman" w:cs="Times New Roman"/>
          <w:sz w:val="24"/>
          <w:szCs w:val="24"/>
          <w:lang w:eastAsia="pt-BR"/>
        </w:rPr>
        <w:t xml:space="preserve"> de contraparte de câmaras de liquidação e custódia: CETIP, SELIC e </w:t>
      </w:r>
      <w:proofErr w:type="spellStart"/>
      <w:r w:rsidRPr="003B203C">
        <w:rPr>
          <w:rFonts w:ascii="Times New Roman" w:hAnsi="Times New Roman" w:cs="Times New Roman"/>
          <w:sz w:val="24"/>
          <w:szCs w:val="24"/>
          <w:lang w:eastAsia="pt-BR"/>
        </w:rPr>
        <w:t>BMF&amp;Bovespa</w:t>
      </w:r>
      <w:proofErr w:type="spellEnd"/>
      <w:r w:rsidRPr="003B203C">
        <w:rPr>
          <w:rFonts w:ascii="Times New Roman" w:hAnsi="Times New Roman" w:cs="Times New Roman"/>
          <w:sz w:val="24"/>
          <w:szCs w:val="24"/>
          <w:lang w:eastAsia="pt-BR"/>
        </w:rPr>
        <w:t xml:space="preserve"> para compra de cotas de Fundos.</w:t>
      </w:r>
    </w:p>
    <w:p w14:paraId="3AED1FA6" w14:textId="77777777" w:rsidR="003B203C" w:rsidRDefault="003B203C" w:rsidP="00A904C4">
      <w:pPr>
        <w:pStyle w:val="SemEspaamento"/>
        <w:spacing w:after="60" w:line="276" w:lineRule="auto"/>
        <w:jc w:val="both"/>
        <w:rPr>
          <w:rFonts w:ascii="Times New Roman" w:hAnsi="Times New Roman" w:cs="Times New Roman"/>
          <w:sz w:val="24"/>
          <w:szCs w:val="24"/>
          <w:lang w:eastAsia="pt-BR"/>
        </w:rPr>
      </w:pPr>
    </w:p>
    <w:p w14:paraId="3AED1FA7" w14:textId="77777777" w:rsidR="00A904C4" w:rsidRPr="00D664B8" w:rsidRDefault="00A904C4" w:rsidP="00A904C4">
      <w:pPr>
        <w:pStyle w:val="SemEspaamento"/>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O risco de crédito pode ser dividido nos seguintes subtipos</w:t>
      </w:r>
      <w:r w:rsidRPr="00D664B8">
        <w:rPr>
          <w:rFonts w:ascii="Times New Roman" w:hAnsi="Times New Roman" w:cs="Times New Roman"/>
          <w:sz w:val="24"/>
          <w:szCs w:val="24"/>
          <w:lang w:eastAsia="pt-BR"/>
        </w:rPr>
        <w:t>:</w:t>
      </w:r>
    </w:p>
    <w:p w14:paraId="3AED1FA8" w14:textId="77777777" w:rsidR="00A904C4" w:rsidRDefault="00A904C4" w:rsidP="00A904C4">
      <w:pPr>
        <w:pStyle w:val="SemEspaamento"/>
        <w:numPr>
          <w:ilvl w:val="0"/>
          <w:numId w:val="4"/>
        </w:numPr>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Risco do emissor/tomador/operação: </w:t>
      </w:r>
      <w:r w:rsidRPr="00D664B8">
        <w:rPr>
          <w:rFonts w:ascii="Times New Roman" w:hAnsi="Times New Roman" w:cs="Times New Roman"/>
          <w:sz w:val="24"/>
          <w:szCs w:val="24"/>
          <w:lang w:eastAsia="pt-BR"/>
        </w:rPr>
        <w:t xml:space="preserve">possibilidade de ocorrência de perdas associadas ao não cumprimento, pelo emissor/tomador ou contraparte, </w:t>
      </w:r>
      <w:r>
        <w:rPr>
          <w:rFonts w:ascii="Times New Roman" w:hAnsi="Times New Roman" w:cs="Times New Roman"/>
          <w:sz w:val="24"/>
          <w:szCs w:val="24"/>
          <w:lang w:eastAsia="pt-BR"/>
        </w:rPr>
        <w:t>d</w:t>
      </w:r>
      <w:r w:rsidRPr="00D664B8">
        <w:rPr>
          <w:rFonts w:ascii="Times New Roman" w:hAnsi="Times New Roman" w:cs="Times New Roman"/>
          <w:sz w:val="24"/>
          <w:szCs w:val="24"/>
          <w:lang w:eastAsia="pt-BR"/>
        </w:rPr>
        <w:t xml:space="preserve">e </w:t>
      </w:r>
      <w:r>
        <w:rPr>
          <w:rFonts w:ascii="Times New Roman" w:hAnsi="Times New Roman" w:cs="Times New Roman"/>
          <w:sz w:val="24"/>
          <w:szCs w:val="24"/>
          <w:lang w:eastAsia="pt-BR"/>
        </w:rPr>
        <w:t>s</w:t>
      </w:r>
      <w:r w:rsidRPr="00D664B8">
        <w:rPr>
          <w:rFonts w:ascii="Times New Roman" w:hAnsi="Times New Roman" w:cs="Times New Roman"/>
          <w:sz w:val="24"/>
          <w:szCs w:val="24"/>
          <w:lang w:eastAsia="pt-BR"/>
        </w:rPr>
        <w:t>uas respectivas obrigações financeiras nos termos pactuados</w:t>
      </w:r>
      <w:r>
        <w:rPr>
          <w:rFonts w:ascii="Times New Roman" w:hAnsi="Times New Roman" w:cs="Times New Roman"/>
          <w:sz w:val="24"/>
          <w:szCs w:val="24"/>
          <w:lang w:eastAsia="pt-BR"/>
        </w:rPr>
        <w:t xml:space="preserve"> (e ainda risco de não execução das garantias, </w:t>
      </w:r>
      <w:proofErr w:type="spellStart"/>
      <w:r>
        <w:rPr>
          <w:rFonts w:ascii="Times New Roman" w:hAnsi="Times New Roman" w:cs="Times New Roman"/>
          <w:sz w:val="24"/>
          <w:szCs w:val="24"/>
          <w:lang w:eastAsia="pt-BR"/>
        </w:rPr>
        <w:t>etc</w:t>
      </w:r>
      <w:proofErr w:type="spellEnd"/>
      <w:r>
        <w:rPr>
          <w:rFonts w:ascii="Times New Roman" w:hAnsi="Times New Roman" w:cs="Times New Roman"/>
          <w:sz w:val="24"/>
          <w:szCs w:val="24"/>
          <w:lang w:eastAsia="pt-BR"/>
        </w:rPr>
        <w:t>).</w:t>
      </w:r>
    </w:p>
    <w:p w14:paraId="3AED1FA9" w14:textId="77777777" w:rsidR="00A904C4" w:rsidRDefault="00A904C4" w:rsidP="00A904C4">
      <w:pPr>
        <w:pStyle w:val="SemEspaamento"/>
        <w:numPr>
          <w:ilvl w:val="0"/>
          <w:numId w:val="4"/>
        </w:numPr>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Risco de contraparte em operações de balcão (</w:t>
      </w:r>
      <w:proofErr w:type="spellStart"/>
      <w:r>
        <w:rPr>
          <w:rFonts w:ascii="Times New Roman" w:hAnsi="Times New Roman" w:cs="Times New Roman"/>
          <w:sz w:val="24"/>
          <w:szCs w:val="24"/>
          <w:lang w:eastAsia="pt-BR"/>
        </w:rPr>
        <w:t>pre-settlement</w:t>
      </w:r>
      <w:proofErr w:type="spellEnd"/>
      <w:r>
        <w:rPr>
          <w:rFonts w:ascii="Times New Roman" w:hAnsi="Times New Roman" w:cs="Times New Roman"/>
          <w:sz w:val="24"/>
          <w:szCs w:val="24"/>
          <w:lang w:eastAsia="pt-BR"/>
        </w:rPr>
        <w:t>): risco da contraparte em operação de balcão não ter condição financeira de honrar tal operação no seu vencimento.</w:t>
      </w:r>
    </w:p>
    <w:p w14:paraId="3AED1FAA" w14:textId="77777777" w:rsidR="00A904C4" w:rsidRPr="00F94483" w:rsidRDefault="00A904C4" w:rsidP="00A904C4">
      <w:pPr>
        <w:pStyle w:val="SemEspaamento"/>
        <w:numPr>
          <w:ilvl w:val="0"/>
          <w:numId w:val="4"/>
        </w:numPr>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Risco de contraparte para liquidação (</w:t>
      </w:r>
      <w:proofErr w:type="spellStart"/>
      <w:r>
        <w:rPr>
          <w:rFonts w:ascii="Times New Roman" w:hAnsi="Times New Roman" w:cs="Times New Roman"/>
          <w:sz w:val="24"/>
          <w:szCs w:val="24"/>
          <w:lang w:eastAsia="pt-BR"/>
        </w:rPr>
        <w:t>settlement</w:t>
      </w:r>
      <w:proofErr w:type="spellEnd"/>
      <w:r>
        <w:rPr>
          <w:rFonts w:ascii="Times New Roman" w:hAnsi="Times New Roman" w:cs="Times New Roman"/>
          <w:sz w:val="24"/>
          <w:szCs w:val="24"/>
          <w:lang w:eastAsia="pt-BR"/>
        </w:rPr>
        <w:t xml:space="preserve">): risco de contraparte não conseguir honrar a liquidação </w:t>
      </w:r>
      <w:r w:rsidRPr="00F94483">
        <w:rPr>
          <w:rFonts w:ascii="Times New Roman" w:hAnsi="Times New Roman" w:cs="Times New Roman"/>
          <w:sz w:val="24"/>
          <w:szCs w:val="24"/>
          <w:lang w:eastAsia="pt-BR"/>
        </w:rPr>
        <w:t>de operações</w:t>
      </w:r>
    </w:p>
    <w:p w14:paraId="3AED1FAB" w14:textId="77777777" w:rsidR="00A904C4" w:rsidRPr="00F94483" w:rsidRDefault="00A904C4" w:rsidP="00A904C4">
      <w:pPr>
        <w:pStyle w:val="SemEspaamento"/>
        <w:numPr>
          <w:ilvl w:val="0"/>
          <w:numId w:val="4"/>
        </w:numPr>
        <w:spacing w:after="60" w:line="276" w:lineRule="auto"/>
        <w:jc w:val="both"/>
        <w:rPr>
          <w:rFonts w:ascii="Times New Roman" w:hAnsi="Times New Roman" w:cs="Times New Roman"/>
          <w:sz w:val="24"/>
          <w:szCs w:val="24"/>
          <w:lang w:eastAsia="pt-BR"/>
        </w:rPr>
      </w:pPr>
      <w:r w:rsidRPr="00F94483">
        <w:rPr>
          <w:rFonts w:ascii="Times New Roman" w:hAnsi="Times New Roman" w:cs="Times New Roman"/>
          <w:sz w:val="24"/>
          <w:szCs w:val="24"/>
          <w:lang w:eastAsia="pt-BR"/>
        </w:rPr>
        <w:t xml:space="preserve">Risco de </w:t>
      </w:r>
      <w:proofErr w:type="spellStart"/>
      <w:r w:rsidRPr="00F94483">
        <w:rPr>
          <w:rFonts w:ascii="Times New Roman" w:hAnsi="Times New Roman" w:cs="Times New Roman"/>
          <w:sz w:val="24"/>
          <w:szCs w:val="24"/>
          <w:lang w:eastAsia="pt-BR"/>
        </w:rPr>
        <w:t>cross-border</w:t>
      </w:r>
      <w:proofErr w:type="spellEnd"/>
      <w:r w:rsidRPr="00F94483">
        <w:rPr>
          <w:rFonts w:ascii="Times New Roman" w:hAnsi="Times New Roman" w:cs="Times New Roman"/>
          <w:sz w:val="24"/>
          <w:szCs w:val="24"/>
          <w:lang w:eastAsia="pt-BR"/>
        </w:rPr>
        <w:t xml:space="preserve">: </w:t>
      </w:r>
      <w:r>
        <w:rPr>
          <w:rFonts w:ascii="Times New Roman" w:hAnsi="Times New Roman" w:cs="Times New Roman"/>
          <w:sz w:val="24"/>
          <w:szCs w:val="24"/>
          <w:lang w:eastAsia="pt-BR"/>
        </w:rPr>
        <w:t xml:space="preserve">risco </w:t>
      </w:r>
      <w:r w:rsidRPr="00F94483">
        <w:rPr>
          <w:rFonts w:ascii="Times New Roman" w:hAnsi="Times New Roman" w:cs="Times New Roman"/>
          <w:sz w:val="24"/>
          <w:szCs w:val="24"/>
          <w:lang w:eastAsia="pt-BR"/>
        </w:rPr>
        <w:t xml:space="preserve">de perdas associadas </w:t>
      </w:r>
      <w:r>
        <w:rPr>
          <w:rFonts w:ascii="Times New Roman" w:hAnsi="Times New Roman" w:cs="Times New Roman"/>
          <w:sz w:val="24"/>
          <w:szCs w:val="24"/>
          <w:lang w:eastAsia="pt-BR"/>
        </w:rPr>
        <w:t xml:space="preserve">à </w:t>
      </w:r>
      <w:r w:rsidRPr="00F94483">
        <w:rPr>
          <w:rFonts w:ascii="Times New Roman" w:hAnsi="Times New Roman" w:cs="Times New Roman"/>
          <w:sz w:val="24"/>
          <w:szCs w:val="24"/>
          <w:lang w:eastAsia="pt-BR"/>
        </w:rPr>
        <w:t>transferência</w:t>
      </w:r>
      <w:r>
        <w:rPr>
          <w:rFonts w:ascii="Times New Roman" w:hAnsi="Times New Roman" w:cs="Times New Roman"/>
          <w:sz w:val="24"/>
          <w:szCs w:val="24"/>
          <w:lang w:eastAsia="pt-BR"/>
        </w:rPr>
        <w:t xml:space="preserve"> internacional de moedas (</w:t>
      </w:r>
      <w:r w:rsidRPr="00F94483">
        <w:rPr>
          <w:rFonts w:ascii="Times New Roman" w:hAnsi="Times New Roman" w:cs="Times New Roman"/>
          <w:sz w:val="24"/>
          <w:szCs w:val="24"/>
          <w:lang w:eastAsia="pt-BR"/>
        </w:rPr>
        <w:t>entraves na conversão cambial dos valores recebidos</w:t>
      </w:r>
      <w:r>
        <w:rPr>
          <w:rFonts w:ascii="Times New Roman" w:hAnsi="Times New Roman" w:cs="Times New Roman"/>
          <w:sz w:val="24"/>
          <w:szCs w:val="24"/>
          <w:lang w:eastAsia="pt-BR"/>
        </w:rPr>
        <w:t>) em função de restrições impostas por governos soberanos.</w:t>
      </w:r>
    </w:p>
    <w:p w14:paraId="3AED1FAC" w14:textId="77777777" w:rsidR="00A904C4" w:rsidRDefault="00A904C4" w:rsidP="00A904C4">
      <w:pPr>
        <w:pStyle w:val="SemEspaamento"/>
        <w:spacing w:after="60" w:line="276" w:lineRule="auto"/>
        <w:jc w:val="both"/>
        <w:rPr>
          <w:rFonts w:ascii="Times New Roman" w:hAnsi="Times New Roman" w:cs="Times New Roman"/>
          <w:b/>
          <w:sz w:val="24"/>
          <w:szCs w:val="24"/>
          <w:u w:val="single"/>
          <w:lang w:eastAsia="pt-BR"/>
        </w:rPr>
      </w:pPr>
    </w:p>
    <w:p w14:paraId="3AED1FAD" w14:textId="77777777" w:rsidR="00A904C4" w:rsidRPr="001079F7" w:rsidRDefault="00A904C4" w:rsidP="00A904C4">
      <w:pPr>
        <w:pStyle w:val="SemEspaamento"/>
        <w:spacing w:after="60" w:line="276" w:lineRule="auto"/>
        <w:jc w:val="both"/>
        <w:rPr>
          <w:rFonts w:ascii="Times New Roman" w:hAnsi="Times New Roman" w:cs="Times New Roman"/>
          <w:sz w:val="24"/>
          <w:szCs w:val="24"/>
          <w:u w:val="single"/>
          <w:lang w:eastAsia="pt-BR"/>
        </w:rPr>
      </w:pPr>
      <w:r w:rsidRPr="001079F7">
        <w:rPr>
          <w:rFonts w:ascii="Times New Roman" w:hAnsi="Times New Roman" w:cs="Times New Roman"/>
          <w:sz w:val="24"/>
          <w:szCs w:val="24"/>
          <w:u w:val="single"/>
          <w:lang w:eastAsia="pt-BR"/>
        </w:rPr>
        <w:t>Metodologia</w:t>
      </w:r>
    </w:p>
    <w:p w14:paraId="3AED1FAE"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p>
    <w:p w14:paraId="3AED1FAF"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Inicialmente é realizada a análise de crédito da contraparte e/ou da operação.</w:t>
      </w:r>
    </w:p>
    <w:p w14:paraId="3AED1FB0" w14:textId="77777777" w:rsidR="00A904C4" w:rsidRPr="002C73FF" w:rsidRDefault="00A904C4" w:rsidP="00A904C4">
      <w:pPr>
        <w:pStyle w:val="SemEspaamento"/>
        <w:numPr>
          <w:ilvl w:val="0"/>
          <w:numId w:val="9"/>
        </w:numPr>
        <w:spacing w:after="60" w:line="276" w:lineRule="auto"/>
        <w:jc w:val="both"/>
        <w:rPr>
          <w:rFonts w:ascii="Times New Roman" w:hAnsi="Times New Roman" w:cs="Times New Roman"/>
          <w:sz w:val="24"/>
          <w:szCs w:val="24"/>
          <w:lang w:eastAsia="pt-BR"/>
        </w:rPr>
      </w:pPr>
      <w:r w:rsidRPr="002C73FF">
        <w:rPr>
          <w:rFonts w:ascii="Times New Roman" w:hAnsi="Times New Roman" w:cs="Times New Roman"/>
          <w:sz w:val="24"/>
          <w:szCs w:val="24"/>
          <w:lang w:eastAsia="pt-BR"/>
        </w:rPr>
        <w:t>An</w:t>
      </w:r>
      <w:r>
        <w:rPr>
          <w:rFonts w:ascii="Times New Roman" w:hAnsi="Times New Roman" w:cs="Times New Roman"/>
          <w:sz w:val="24"/>
          <w:szCs w:val="24"/>
          <w:lang w:eastAsia="pt-BR"/>
        </w:rPr>
        <w:t>á</w:t>
      </w:r>
      <w:r w:rsidRPr="002C73FF">
        <w:rPr>
          <w:rFonts w:ascii="Times New Roman" w:hAnsi="Times New Roman" w:cs="Times New Roman"/>
          <w:sz w:val="24"/>
          <w:szCs w:val="24"/>
          <w:lang w:eastAsia="pt-BR"/>
        </w:rPr>
        <w:t>lise de crédito</w:t>
      </w:r>
    </w:p>
    <w:p w14:paraId="3AED1FB1" w14:textId="77777777" w:rsidR="00A904C4" w:rsidRPr="00C072B8" w:rsidRDefault="00A904C4" w:rsidP="00A904C4">
      <w:pPr>
        <w:pStyle w:val="SemEspaamento"/>
        <w:spacing w:after="60" w:line="276" w:lineRule="auto"/>
        <w:jc w:val="both"/>
        <w:rPr>
          <w:rFonts w:ascii="Times New Roman" w:hAnsi="Times New Roman" w:cs="Times New Roman"/>
          <w:i/>
          <w:sz w:val="24"/>
          <w:szCs w:val="24"/>
          <w:lang w:eastAsia="pt-BR"/>
        </w:rPr>
      </w:pPr>
      <w:r>
        <w:rPr>
          <w:rFonts w:ascii="Times New Roman" w:hAnsi="Times New Roman" w:cs="Times New Roman"/>
          <w:sz w:val="24"/>
          <w:szCs w:val="24"/>
          <w:lang w:eastAsia="pt-BR"/>
        </w:rPr>
        <w:t xml:space="preserve">A análise de crédito engloba a análise quantitativa (modelagem da capacidade de pagamento, baseada nas demonstrações/informações financeiras e em diversos </w:t>
      </w:r>
      <w:r>
        <w:rPr>
          <w:rFonts w:ascii="Times New Roman" w:hAnsi="Times New Roman" w:cs="Times New Roman"/>
          <w:sz w:val="24"/>
          <w:szCs w:val="24"/>
          <w:lang w:eastAsia="pt-BR"/>
        </w:rPr>
        <w:lastRenderedPageBreak/>
        <w:t>cenários), qualitativa (reputação) e, quando for o caso, das características da operação (garantias disponíveis, cláusulas contratuais, etc.). Também pode ser utilizado como referência o spread de crédito do emissor/contraparte no mercado.</w:t>
      </w:r>
    </w:p>
    <w:p w14:paraId="3AED1FB2" w14:textId="77777777" w:rsidR="00A904C4" w:rsidRDefault="00A904C4" w:rsidP="00A904C4">
      <w:pPr>
        <w:pStyle w:val="SemEspaamento"/>
        <w:spacing w:after="60" w:line="276" w:lineRule="auto"/>
        <w:jc w:val="both"/>
        <w:rPr>
          <w:rFonts w:ascii="Times New Roman" w:hAnsi="Times New Roman" w:cs="Times New Roman"/>
          <w:b/>
          <w:sz w:val="24"/>
          <w:szCs w:val="24"/>
          <w:u w:val="single"/>
          <w:lang w:eastAsia="pt-BR"/>
        </w:rPr>
      </w:pPr>
    </w:p>
    <w:p w14:paraId="3AED1FB3"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Em seguida o Comitê de Investimento pode aprovar a contraparte para operações (</w:t>
      </w:r>
      <w:proofErr w:type="spellStart"/>
      <w:r>
        <w:rPr>
          <w:rFonts w:ascii="Times New Roman" w:hAnsi="Times New Roman" w:cs="Times New Roman"/>
          <w:sz w:val="24"/>
          <w:szCs w:val="24"/>
          <w:lang w:eastAsia="pt-BR"/>
        </w:rPr>
        <w:t>settl</w:t>
      </w:r>
      <w:proofErr w:type="spellEnd"/>
      <w:r>
        <w:rPr>
          <w:rFonts w:ascii="Times New Roman" w:hAnsi="Times New Roman" w:cs="Times New Roman"/>
          <w:sz w:val="24"/>
          <w:szCs w:val="24"/>
          <w:lang w:eastAsia="pt-BR"/>
        </w:rPr>
        <w:t xml:space="preserve">, </w:t>
      </w:r>
      <w:proofErr w:type="spellStart"/>
      <w:r>
        <w:rPr>
          <w:rFonts w:ascii="Times New Roman" w:hAnsi="Times New Roman" w:cs="Times New Roman"/>
          <w:sz w:val="24"/>
          <w:szCs w:val="24"/>
          <w:lang w:eastAsia="pt-BR"/>
        </w:rPr>
        <w:t>Psettl</w:t>
      </w:r>
      <w:proofErr w:type="spellEnd"/>
      <w:r>
        <w:rPr>
          <w:rFonts w:ascii="Times New Roman" w:hAnsi="Times New Roman" w:cs="Times New Roman"/>
          <w:sz w:val="24"/>
          <w:szCs w:val="24"/>
          <w:lang w:eastAsia="pt-BR"/>
        </w:rPr>
        <w:t xml:space="preserve">, </w:t>
      </w:r>
      <w:proofErr w:type="spellStart"/>
      <w:r>
        <w:rPr>
          <w:rFonts w:ascii="Times New Roman" w:hAnsi="Times New Roman" w:cs="Times New Roman"/>
          <w:sz w:val="24"/>
          <w:szCs w:val="24"/>
          <w:lang w:eastAsia="pt-BR"/>
        </w:rPr>
        <w:t>Op</w:t>
      </w:r>
      <w:proofErr w:type="spellEnd"/>
      <w:r>
        <w:rPr>
          <w:rFonts w:ascii="Times New Roman" w:hAnsi="Times New Roman" w:cs="Times New Roman"/>
          <w:sz w:val="24"/>
          <w:szCs w:val="24"/>
          <w:lang w:eastAsia="pt-BR"/>
        </w:rPr>
        <w:t>)</w:t>
      </w:r>
    </w:p>
    <w:p w14:paraId="3AED1FB4"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p>
    <w:p w14:paraId="3AED1FB5" w14:textId="77777777" w:rsidR="00A904C4" w:rsidRPr="00AA156C" w:rsidRDefault="00A904C4" w:rsidP="00A904C4">
      <w:pPr>
        <w:pStyle w:val="SemEspaamento"/>
        <w:spacing w:after="60" w:line="276" w:lineRule="auto"/>
        <w:jc w:val="both"/>
        <w:rPr>
          <w:rFonts w:ascii="Times New Roman" w:hAnsi="Times New Roman" w:cs="Times New Roman"/>
          <w:b/>
          <w:sz w:val="24"/>
          <w:szCs w:val="24"/>
          <w:u w:val="single"/>
          <w:lang w:eastAsia="pt-BR"/>
        </w:rPr>
      </w:pPr>
      <w:r w:rsidRPr="00AA156C">
        <w:rPr>
          <w:rFonts w:ascii="Times New Roman" w:hAnsi="Times New Roman" w:cs="Times New Roman"/>
          <w:b/>
          <w:sz w:val="24"/>
          <w:szCs w:val="24"/>
          <w:u w:val="single"/>
          <w:lang w:eastAsia="pt-BR"/>
        </w:rPr>
        <w:t>Controle operacional de crédito</w:t>
      </w:r>
    </w:p>
    <w:p w14:paraId="3AED1FB6" w14:textId="77777777" w:rsidR="00A904C4" w:rsidRPr="00AA156C" w:rsidRDefault="00F9664B" w:rsidP="00A904C4">
      <w:pPr>
        <w:pStyle w:val="SemEspaamento"/>
        <w:spacing w:after="60" w:line="276" w:lineRule="auto"/>
        <w:jc w:val="both"/>
        <w:rPr>
          <w:rFonts w:ascii="Times New Roman" w:hAnsi="Times New Roman" w:cs="Times New Roman"/>
          <w:sz w:val="24"/>
          <w:szCs w:val="24"/>
          <w:lang w:eastAsia="pt-BR"/>
        </w:rPr>
      </w:pPr>
      <w:r w:rsidRPr="00AA156C">
        <w:rPr>
          <w:rFonts w:ascii="Times New Roman" w:hAnsi="Times New Roman" w:cs="Times New Roman"/>
          <w:sz w:val="24"/>
          <w:szCs w:val="24"/>
          <w:lang w:eastAsia="pt-BR"/>
        </w:rPr>
        <w:t>Após a aprovação pelo C</w:t>
      </w:r>
      <w:r w:rsidR="00A904C4" w:rsidRPr="00AA156C">
        <w:rPr>
          <w:rFonts w:ascii="Times New Roman" w:hAnsi="Times New Roman" w:cs="Times New Roman"/>
          <w:sz w:val="24"/>
          <w:szCs w:val="24"/>
          <w:lang w:eastAsia="pt-BR"/>
        </w:rPr>
        <w:t xml:space="preserve">omitê de </w:t>
      </w:r>
      <w:r w:rsidRPr="00AA156C">
        <w:rPr>
          <w:rFonts w:ascii="Times New Roman" w:hAnsi="Times New Roman" w:cs="Times New Roman"/>
          <w:sz w:val="24"/>
          <w:szCs w:val="24"/>
          <w:lang w:eastAsia="pt-BR"/>
        </w:rPr>
        <w:t>I</w:t>
      </w:r>
      <w:r w:rsidR="00A904C4" w:rsidRPr="00AA156C">
        <w:rPr>
          <w:rFonts w:ascii="Times New Roman" w:hAnsi="Times New Roman" w:cs="Times New Roman"/>
          <w:sz w:val="24"/>
          <w:szCs w:val="24"/>
          <w:lang w:eastAsia="pt-BR"/>
        </w:rPr>
        <w:t>nvestimentos</w:t>
      </w:r>
      <w:r w:rsidR="00AA156C" w:rsidRPr="00AA156C">
        <w:rPr>
          <w:rFonts w:ascii="Times New Roman" w:hAnsi="Times New Roman" w:cs="Times New Roman"/>
          <w:sz w:val="24"/>
          <w:szCs w:val="24"/>
          <w:lang w:eastAsia="pt-BR"/>
        </w:rPr>
        <w:t>,</w:t>
      </w:r>
      <w:r w:rsidR="00A904C4" w:rsidRPr="00AA156C">
        <w:rPr>
          <w:rFonts w:ascii="Times New Roman" w:hAnsi="Times New Roman" w:cs="Times New Roman"/>
          <w:sz w:val="24"/>
          <w:szCs w:val="24"/>
          <w:lang w:eastAsia="pt-BR"/>
        </w:rPr>
        <w:t xml:space="preserve"> o Gestor cadastra no sistema de gerenciamento de ativos as características da operação. Em seguida, o responsável pelo risco passa a monitorar, bem como, precificar esse ativo informando aos gestores e colaboradores as condições de mercado para os ativos detidos nos portfólios.</w:t>
      </w:r>
    </w:p>
    <w:p w14:paraId="3AED1FB7" w14:textId="77777777" w:rsidR="00A904C4" w:rsidRPr="00AA156C" w:rsidRDefault="00A904C4" w:rsidP="00A904C4">
      <w:pPr>
        <w:pStyle w:val="SemEspaamento"/>
        <w:spacing w:after="60" w:line="276" w:lineRule="auto"/>
        <w:jc w:val="both"/>
        <w:rPr>
          <w:rFonts w:ascii="Times New Roman" w:hAnsi="Times New Roman" w:cs="Times New Roman"/>
          <w:sz w:val="24"/>
          <w:szCs w:val="24"/>
          <w:lang w:eastAsia="pt-BR"/>
        </w:rPr>
      </w:pPr>
      <w:r w:rsidRPr="00AA156C">
        <w:rPr>
          <w:rFonts w:ascii="Times New Roman" w:hAnsi="Times New Roman" w:cs="Times New Roman"/>
          <w:sz w:val="24"/>
          <w:szCs w:val="24"/>
          <w:lang w:eastAsia="pt-BR"/>
        </w:rPr>
        <w:t>Fica desde já definido que o Gestor é responsável pelo monitoramento das informações relacionadas aos riscos de crédito, ou seja, informa todas e quaisquer mudanças na Empresa/Instituições, garantias e etc..</w:t>
      </w:r>
    </w:p>
    <w:p w14:paraId="3AED1FB8" w14:textId="77777777" w:rsidR="00A904C4" w:rsidRDefault="00A904C4" w:rsidP="00A904C4">
      <w:pPr>
        <w:pStyle w:val="SemEspaamento"/>
        <w:spacing w:after="60" w:line="276" w:lineRule="auto"/>
        <w:jc w:val="both"/>
        <w:rPr>
          <w:rFonts w:ascii="Times New Roman" w:hAnsi="Times New Roman" w:cs="Times New Roman"/>
          <w:sz w:val="24"/>
          <w:szCs w:val="24"/>
          <w:u w:val="single"/>
          <w:lang w:eastAsia="pt-BR"/>
        </w:rPr>
      </w:pPr>
    </w:p>
    <w:p w14:paraId="3AED1FB9" w14:textId="77777777" w:rsidR="00A904C4" w:rsidRPr="001079F7" w:rsidRDefault="00A904C4" w:rsidP="00A904C4">
      <w:pPr>
        <w:pStyle w:val="SemEspaamento"/>
        <w:spacing w:after="60" w:line="276" w:lineRule="auto"/>
        <w:jc w:val="both"/>
        <w:rPr>
          <w:rFonts w:ascii="Times New Roman" w:hAnsi="Times New Roman" w:cs="Times New Roman"/>
          <w:sz w:val="24"/>
          <w:szCs w:val="24"/>
          <w:u w:val="single"/>
          <w:lang w:eastAsia="pt-BR"/>
        </w:rPr>
      </w:pPr>
      <w:r w:rsidRPr="001079F7">
        <w:rPr>
          <w:rFonts w:ascii="Times New Roman" w:hAnsi="Times New Roman" w:cs="Times New Roman"/>
          <w:sz w:val="24"/>
          <w:szCs w:val="24"/>
          <w:u w:val="single"/>
          <w:lang w:eastAsia="pt-BR"/>
        </w:rPr>
        <w:t>Processo</w:t>
      </w:r>
    </w:p>
    <w:p w14:paraId="3AED1FBA" w14:textId="77777777" w:rsidR="00A904C4" w:rsidRDefault="00A904C4" w:rsidP="00A904C4">
      <w:pPr>
        <w:pStyle w:val="SemEspaamento"/>
        <w:spacing w:after="60" w:line="276" w:lineRule="auto"/>
        <w:jc w:val="both"/>
        <w:rPr>
          <w:rFonts w:ascii="Times New Roman" w:hAnsi="Times New Roman" w:cs="Times New Roman"/>
          <w:sz w:val="24"/>
          <w:szCs w:val="24"/>
          <w:u w:val="single"/>
          <w:lang w:eastAsia="pt-BR"/>
        </w:rPr>
      </w:pPr>
    </w:p>
    <w:p w14:paraId="3AED1FBB"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sidRPr="004C5C1F">
        <w:rPr>
          <w:rFonts w:ascii="Times New Roman" w:hAnsi="Times New Roman" w:cs="Times New Roman"/>
          <w:sz w:val="24"/>
          <w:szCs w:val="24"/>
          <w:lang w:eastAsia="pt-BR"/>
        </w:rPr>
        <w:t xml:space="preserve">Propostas são levadas para o Comitê </w:t>
      </w:r>
      <w:r>
        <w:rPr>
          <w:rFonts w:ascii="Times New Roman" w:hAnsi="Times New Roman" w:cs="Times New Roman"/>
          <w:sz w:val="24"/>
          <w:szCs w:val="24"/>
          <w:lang w:eastAsia="pt-BR"/>
        </w:rPr>
        <w:t>de Investimento</w:t>
      </w:r>
    </w:p>
    <w:p w14:paraId="3AED1FBC"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É realizada a análise de crédito (ou levada junto com a proposta)</w:t>
      </w:r>
    </w:p>
    <w:p w14:paraId="3AED1FBD"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aprovação de contraparte para operar (risco de </w:t>
      </w:r>
      <w:proofErr w:type="spellStart"/>
      <w:r>
        <w:rPr>
          <w:rFonts w:ascii="Times New Roman" w:hAnsi="Times New Roman" w:cs="Times New Roman"/>
          <w:sz w:val="24"/>
          <w:szCs w:val="24"/>
          <w:lang w:eastAsia="pt-BR"/>
        </w:rPr>
        <w:t>settlement</w:t>
      </w:r>
      <w:proofErr w:type="spellEnd"/>
      <w:r>
        <w:rPr>
          <w:rFonts w:ascii="Times New Roman" w:hAnsi="Times New Roman" w:cs="Times New Roman"/>
          <w:sz w:val="24"/>
          <w:szCs w:val="24"/>
          <w:lang w:eastAsia="pt-BR"/>
        </w:rPr>
        <w:t>)</w:t>
      </w:r>
    </w:p>
    <w:p w14:paraId="3AED1FBE"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 aprovação da contraparte para operações de balcão (risco de </w:t>
      </w:r>
      <w:proofErr w:type="spellStart"/>
      <w:r>
        <w:rPr>
          <w:rFonts w:ascii="Times New Roman" w:hAnsi="Times New Roman" w:cs="Times New Roman"/>
          <w:sz w:val="24"/>
          <w:szCs w:val="24"/>
          <w:lang w:eastAsia="pt-BR"/>
        </w:rPr>
        <w:t>pre-settlement</w:t>
      </w:r>
      <w:proofErr w:type="spellEnd"/>
      <w:r>
        <w:rPr>
          <w:rFonts w:ascii="Times New Roman" w:hAnsi="Times New Roman" w:cs="Times New Roman"/>
          <w:sz w:val="24"/>
          <w:szCs w:val="24"/>
          <w:lang w:eastAsia="pt-BR"/>
        </w:rPr>
        <w:t>)</w:t>
      </w:r>
    </w:p>
    <w:p w14:paraId="3AED1FBF"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aprovação da operação de crédito (emissor, garantias, contratos e etc..).</w:t>
      </w:r>
    </w:p>
    <w:p w14:paraId="3AED1FC0"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p>
    <w:p w14:paraId="3AED1FC1"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sidRPr="00637E63">
        <w:rPr>
          <w:rFonts w:ascii="Times New Roman" w:hAnsi="Times New Roman" w:cs="Times New Roman"/>
          <w:sz w:val="24"/>
          <w:szCs w:val="24"/>
          <w:u w:val="single"/>
          <w:lang w:eastAsia="pt-BR"/>
        </w:rPr>
        <w:t>Monitoramento</w:t>
      </w:r>
      <w:r>
        <w:rPr>
          <w:rFonts w:ascii="Times New Roman" w:hAnsi="Times New Roman" w:cs="Times New Roman"/>
          <w:sz w:val="24"/>
          <w:szCs w:val="24"/>
          <w:lang w:eastAsia="pt-BR"/>
        </w:rPr>
        <w:t xml:space="preserve">: </w:t>
      </w:r>
    </w:p>
    <w:p w14:paraId="3AED1FC2"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Revisão das contrapartes a cada 1 ano, ou antes, sempre que se fizer necessário;</w:t>
      </w:r>
    </w:p>
    <w:p w14:paraId="3AED1FC3"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 xml:space="preserve">Acompanhamento do </w:t>
      </w:r>
      <w:proofErr w:type="spellStart"/>
      <w:r>
        <w:rPr>
          <w:rFonts w:ascii="Times New Roman" w:hAnsi="Times New Roman" w:cs="Times New Roman"/>
          <w:sz w:val="24"/>
          <w:szCs w:val="24"/>
          <w:lang w:eastAsia="pt-BR"/>
        </w:rPr>
        <w:t>exposure</w:t>
      </w:r>
      <w:proofErr w:type="spellEnd"/>
      <w:r>
        <w:rPr>
          <w:rFonts w:ascii="Times New Roman" w:hAnsi="Times New Roman" w:cs="Times New Roman"/>
          <w:sz w:val="24"/>
          <w:szCs w:val="24"/>
          <w:lang w:eastAsia="pt-BR"/>
        </w:rPr>
        <w:t xml:space="preserve"> potencial nas operações de balcão (e da situação financeira da contraparte vis a vis o prazo de vencimento da operação);</w:t>
      </w:r>
    </w:p>
    <w:p w14:paraId="3AED1FC4"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r>
        <w:rPr>
          <w:rFonts w:ascii="Times New Roman" w:hAnsi="Times New Roman" w:cs="Times New Roman"/>
          <w:sz w:val="24"/>
          <w:szCs w:val="24"/>
          <w:lang w:eastAsia="pt-BR"/>
        </w:rPr>
        <w:t>Acompanhamento da situação financeira dos emissores e das operações aprovadas (e executadas por algum Portfólio).</w:t>
      </w:r>
    </w:p>
    <w:p w14:paraId="3AED1FC5" w14:textId="77777777" w:rsidR="00A904C4" w:rsidRDefault="00A904C4" w:rsidP="00A904C4">
      <w:pPr>
        <w:pStyle w:val="SemEspaamento"/>
        <w:spacing w:after="60" w:line="276" w:lineRule="auto"/>
        <w:jc w:val="both"/>
        <w:rPr>
          <w:rFonts w:ascii="Times New Roman" w:hAnsi="Times New Roman" w:cs="Times New Roman"/>
          <w:sz w:val="24"/>
          <w:szCs w:val="24"/>
          <w:lang w:eastAsia="pt-BR"/>
        </w:rPr>
      </w:pPr>
    </w:p>
    <w:p w14:paraId="3AED1FC6" w14:textId="77777777" w:rsidR="00A904C4" w:rsidRPr="006B2F4F" w:rsidRDefault="00A904C4" w:rsidP="00A904C4">
      <w:pPr>
        <w:pStyle w:val="SemEspaamento"/>
        <w:spacing w:after="60" w:line="276" w:lineRule="auto"/>
        <w:jc w:val="both"/>
        <w:rPr>
          <w:rFonts w:ascii="Times New Roman" w:hAnsi="Times New Roman" w:cs="Times New Roman"/>
          <w:sz w:val="24"/>
          <w:szCs w:val="24"/>
          <w:u w:val="single"/>
          <w:lang w:eastAsia="pt-BR"/>
        </w:rPr>
      </w:pPr>
      <w:r w:rsidRPr="006B2F4F">
        <w:rPr>
          <w:rFonts w:ascii="Times New Roman" w:hAnsi="Times New Roman" w:cs="Times New Roman"/>
          <w:sz w:val="24"/>
          <w:szCs w:val="24"/>
          <w:u w:val="single"/>
          <w:lang w:eastAsia="pt-BR"/>
        </w:rPr>
        <w:t>Relatórios</w:t>
      </w:r>
    </w:p>
    <w:p w14:paraId="3AED1FC7" w14:textId="77777777" w:rsidR="00A904C4" w:rsidRPr="00C97FF9" w:rsidRDefault="00A904C4" w:rsidP="00A904C4">
      <w:pPr>
        <w:pStyle w:val="SemEspaamento"/>
        <w:numPr>
          <w:ilvl w:val="0"/>
          <w:numId w:val="5"/>
        </w:numPr>
        <w:spacing w:after="60" w:line="276" w:lineRule="auto"/>
        <w:jc w:val="both"/>
        <w:rPr>
          <w:rFonts w:ascii="Times New Roman" w:hAnsi="Times New Roman" w:cs="Times New Roman"/>
          <w:b/>
          <w:sz w:val="24"/>
          <w:szCs w:val="24"/>
          <w:u w:val="single"/>
          <w:lang w:eastAsia="pt-BR"/>
        </w:rPr>
      </w:pPr>
      <w:r>
        <w:rPr>
          <w:rFonts w:ascii="Times New Roman" w:hAnsi="Times New Roman" w:cs="Times New Roman"/>
          <w:sz w:val="24"/>
          <w:szCs w:val="24"/>
          <w:lang w:eastAsia="pt-BR"/>
        </w:rPr>
        <w:t>Lista das contrapartes aprovadas (elaborado pelo Comitê de Investimentos)</w:t>
      </w:r>
    </w:p>
    <w:p w14:paraId="3AED1FC8" w14:textId="77777777" w:rsidR="00A904C4" w:rsidRPr="00C97FF9" w:rsidRDefault="00A904C4" w:rsidP="00A904C4">
      <w:pPr>
        <w:pStyle w:val="SemEspaamento"/>
        <w:numPr>
          <w:ilvl w:val="0"/>
          <w:numId w:val="5"/>
        </w:numPr>
        <w:spacing w:after="60" w:line="276" w:lineRule="auto"/>
        <w:jc w:val="both"/>
        <w:rPr>
          <w:rFonts w:ascii="Times New Roman" w:hAnsi="Times New Roman" w:cs="Times New Roman"/>
          <w:sz w:val="24"/>
          <w:szCs w:val="24"/>
          <w:lang w:eastAsia="pt-BR"/>
        </w:rPr>
      </w:pPr>
      <w:r w:rsidRPr="00C97FF9">
        <w:rPr>
          <w:rFonts w:ascii="Times New Roman" w:hAnsi="Times New Roman" w:cs="Times New Roman"/>
          <w:sz w:val="24"/>
          <w:szCs w:val="24"/>
          <w:lang w:eastAsia="pt-BR"/>
        </w:rPr>
        <w:t xml:space="preserve">Relatório de </w:t>
      </w:r>
      <w:r>
        <w:rPr>
          <w:rFonts w:ascii="Times New Roman" w:hAnsi="Times New Roman" w:cs="Times New Roman"/>
          <w:sz w:val="24"/>
          <w:szCs w:val="24"/>
          <w:lang w:eastAsia="pt-BR"/>
        </w:rPr>
        <w:t xml:space="preserve">aprovação de contraparte para operações de balcão (elaborado pelo Comitê de Investimentos) </w:t>
      </w:r>
    </w:p>
    <w:p w14:paraId="3AED1FC9" w14:textId="77777777" w:rsidR="00A904C4" w:rsidRPr="00C97FF9" w:rsidRDefault="00A904C4" w:rsidP="00A904C4">
      <w:pPr>
        <w:pStyle w:val="SemEspaamento"/>
        <w:numPr>
          <w:ilvl w:val="0"/>
          <w:numId w:val="5"/>
        </w:numPr>
        <w:spacing w:after="60" w:line="276" w:lineRule="auto"/>
        <w:jc w:val="both"/>
        <w:rPr>
          <w:rFonts w:ascii="Times New Roman" w:hAnsi="Times New Roman" w:cs="Times New Roman"/>
          <w:b/>
          <w:sz w:val="24"/>
          <w:szCs w:val="24"/>
          <w:u w:val="single"/>
          <w:lang w:eastAsia="pt-BR"/>
        </w:rPr>
      </w:pPr>
      <w:r>
        <w:rPr>
          <w:rFonts w:ascii="Times New Roman" w:hAnsi="Times New Roman" w:cs="Times New Roman"/>
          <w:sz w:val="24"/>
          <w:szCs w:val="24"/>
          <w:lang w:eastAsia="pt-BR"/>
        </w:rPr>
        <w:t>Relatório de aprovação de operações de crédito aprovadas (elaborado pelo Comitê de Investimentos)</w:t>
      </w:r>
    </w:p>
    <w:p w14:paraId="3AED1FCA" w14:textId="77777777" w:rsidR="00A904C4" w:rsidRPr="00C97FF9" w:rsidRDefault="00A904C4" w:rsidP="00A904C4">
      <w:pPr>
        <w:pStyle w:val="SemEspaamento"/>
        <w:numPr>
          <w:ilvl w:val="0"/>
          <w:numId w:val="5"/>
        </w:numPr>
        <w:spacing w:after="60" w:line="276" w:lineRule="auto"/>
        <w:jc w:val="both"/>
        <w:rPr>
          <w:rFonts w:ascii="Times New Roman" w:hAnsi="Times New Roman" w:cs="Times New Roman"/>
          <w:b/>
          <w:sz w:val="24"/>
          <w:szCs w:val="24"/>
          <w:u w:val="single"/>
          <w:lang w:eastAsia="pt-BR"/>
        </w:rPr>
      </w:pPr>
      <w:r>
        <w:rPr>
          <w:rFonts w:ascii="Times New Roman" w:hAnsi="Times New Roman" w:cs="Times New Roman"/>
          <w:sz w:val="24"/>
          <w:szCs w:val="24"/>
          <w:lang w:eastAsia="pt-BR"/>
        </w:rPr>
        <w:lastRenderedPageBreak/>
        <w:t>Relatório diário de exposição de crédito por Portfólio (elaborado pelo responsável por Risco)</w:t>
      </w:r>
    </w:p>
    <w:p w14:paraId="3AED1FCB" w14:textId="77777777" w:rsidR="00A904C4" w:rsidRPr="00C97FF9" w:rsidRDefault="00A904C4" w:rsidP="00A904C4">
      <w:pPr>
        <w:pStyle w:val="SemEspaamento"/>
        <w:numPr>
          <w:ilvl w:val="0"/>
          <w:numId w:val="5"/>
        </w:numPr>
        <w:spacing w:after="60" w:line="276" w:lineRule="auto"/>
        <w:jc w:val="both"/>
        <w:rPr>
          <w:rFonts w:ascii="Times New Roman" w:hAnsi="Times New Roman" w:cs="Times New Roman"/>
          <w:b/>
          <w:sz w:val="24"/>
          <w:szCs w:val="24"/>
          <w:u w:val="single"/>
          <w:lang w:eastAsia="pt-BR"/>
        </w:rPr>
      </w:pPr>
      <w:r>
        <w:rPr>
          <w:rFonts w:ascii="Times New Roman" w:hAnsi="Times New Roman" w:cs="Times New Roman"/>
          <w:sz w:val="24"/>
          <w:szCs w:val="24"/>
          <w:lang w:eastAsia="pt-BR"/>
        </w:rPr>
        <w:t>Relatório semanal de acompanhamento de operações de crédito (elaborado pelo responsável por Risco)</w:t>
      </w:r>
    </w:p>
    <w:p w14:paraId="3AED1FCC" w14:textId="77777777" w:rsidR="00A904C4" w:rsidRDefault="00A904C4" w:rsidP="00A904C4">
      <w:pPr>
        <w:pStyle w:val="SemEspaamento"/>
        <w:numPr>
          <w:ilvl w:val="0"/>
          <w:numId w:val="5"/>
        </w:numPr>
        <w:spacing w:after="60" w:line="276" w:lineRule="auto"/>
        <w:jc w:val="both"/>
        <w:rPr>
          <w:lang w:eastAsia="pt-BR"/>
        </w:rPr>
      </w:pPr>
      <w:r>
        <w:rPr>
          <w:rFonts w:ascii="Times New Roman" w:hAnsi="Times New Roman" w:cs="Times New Roman"/>
          <w:sz w:val="24"/>
          <w:szCs w:val="24"/>
          <w:lang w:eastAsia="pt-BR"/>
        </w:rPr>
        <w:t>Relatório semanal de desenquadramentos</w:t>
      </w:r>
    </w:p>
    <w:p w14:paraId="3AED1FCD" w14:textId="77777777" w:rsidR="00A904C4" w:rsidRPr="00C97FF9" w:rsidRDefault="00A904C4" w:rsidP="00A904C4">
      <w:pPr>
        <w:pStyle w:val="SemEspaamento"/>
        <w:spacing w:after="60" w:line="276" w:lineRule="auto"/>
        <w:ind w:left="720"/>
        <w:jc w:val="both"/>
        <w:rPr>
          <w:rFonts w:ascii="Times New Roman" w:hAnsi="Times New Roman" w:cs="Times New Roman"/>
          <w:b/>
          <w:sz w:val="24"/>
          <w:szCs w:val="24"/>
          <w:u w:val="single"/>
          <w:lang w:eastAsia="pt-BR"/>
        </w:rPr>
      </w:pPr>
    </w:p>
    <w:p w14:paraId="3AED1FCE" w14:textId="77777777" w:rsidR="00A904C4" w:rsidRPr="00D664B8" w:rsidRDefault="00A904C4" w:rsidP="00A904C4">
      <w:pPr>
        <w:pStyle w:val="PargrafodaLista"/>
        <w:numPr>
          <w:ilvl w:val="0"/>
          <w:numId w:val="3"/>
        </w:numPr>
        <w:spacing w:after="60"/>
        <w:jc w:val="both"/>
        <w:rPr>
          <w:rFonts w:ascii="Times New Roman" w:eastAsia="Times New Roman" w:hAnsi="Times New Roman" w:cs="Times New Roman"/>
          <w:color w:val="000000"/>
          <w:sz w:val="24"/>
          <w:szCs w:val="24"/>
          <w:lang w:eastAsia="pt-BR"/>
        </w:rPr>
      </w:pPr>
      <w:bookmarkStart w:id="1" w:name="2"/>
      <w:bookmarkEnd w:id="1"/>
      <w:r w:rsidRPr="00D664B8">
        <w:rPr>
          <w:rFonts w:ascii="Times New Roman" w:eastAsia="Times New Roman" w:hAnsi="Times New Roman" w:cs="Times New Roman"/>
          <w:b/>
          <w:bCs/>
          <w:color w:val="000000"/>
          <w:sz w:val="24"/>
          <w:szCs w:val="24"/>
          <w:lang w:eastAsia="pt-BR"/>
        </w:rPr>
        <w:t>Risco de Mercado</w:t>
      </w:r>
    </w:p>
    <w:p w14:paraId="3AED1FCF" w14:textId="77777777" w:rsidR="00A904C4" w:rsidRDefault="00A904C4" w:rsidP="00A904C4">
      <w:pPr>
        <w:spacing w:after="60"/>
        <w:jc w:val="both"/>
        <w:rPr>
          <w:color w:val="000000"/>
          <w:u w:val="single"/>
          <w:lang w:eastAsia="pt-BR"/>
        </w:rPr>
      </w:pPr>
    </w:p>
    <w:p w14:paraId="3AED1FD0" w14:textId="77777777" w:rsidR="00A904C4" w:rsidRPr="003D5927" w:rsidRDefault="00A904C4" w:rsidP="00A904C4">
      <w:pPr>
        <w:spacing w:after="60"/>
        <w:jc w:val="both"/>
        <w:rPr>
          <w:color w:val="000000"/>
          <w:u w:val="single"/>
          <w:lang w:eastAsia="pt-BR"/>
        </w:rPr>
      </w:pPr>
      <w:proofErr w:type="spellStart"/>
      <w:r w:rsidRPr="003D5927">
        <w:rPr>
          <w:color w:val="000000"/>
          <w:u w:val="single"/>
          <w:lang w:eastAsia="pt-BR"/>
        </w:rPr>
        <w:t>D</w:t>
      </w:r>
      <w:r>
        <w:rPr>
          <w:color w:val="000000"/>
          <w:u w:val="single"/>
          <w:lang w:eastAsia="pt-BR"/>
        </w:rPr>
        <w:t>efinição</w:t>
      </w:r>
      <w:proofErr w:type="spellEnd"/>
    </w:p>
    <w:p w14:paraId="3AED1FD1" w14:textId="77777777" w:rsidR="00A904C4" w:rsidRPr="00A904C4" w:rsidRDefault="00A904C4" w:rsidP="00A904C4">
      <w:pPr>
        <w:spacing w:after="60"/>
        <w:jc w:val="both"/>
        <w:rPr>
          <w:color w:val="000000"/>
          <w:u w:val="single"/>
          <w:lang w:val="pt-BR" w:eastAsia="pt-BR"/>
        </w:rPr>
      </w:pPr>
      <w:r w:rsidRPr="00A904C4">
        <w:rPr>
          <w:color w:val="000000"/>
          <w:lang w:val="pt-BR" w:eastAsia="pt-BR"/>
        </w:rPr>
        <w:t xml:space="preserve">O risco de mercado significa o risco de oscilação dos valores dos ativos de um portfólio em função de alterações de taxas de juros, taxas de inflação, moedas, preços de commodities, preços de ações, volatilidades implícitas, etc. </w:t>
      </w:r>
    </w:p>
    <w:p w14:paraId="3AED1FD2" w14:textId="77777777" w:rsidR="00F9664B" w:rsidRDefault="00F9664B" w:rsidP="00A904C4">
      <w:pPr>
        <w:spacing w:after="60"/>
        <w:jc w:val="both"/>
        <w:rPr>
          <w:color w:val="000000"/>
          <w:u w:val="single"/>
          <w:lang w:val="pt-BR" w:eastAsia="pt-BR"/>
        </w:rPr>
      </w:pPr>
    </w:p>
    <w:p w14:paraId="3AED1FD3" w14:textId="77777777" w:rsidR="00A904C4" w:rsidRPr="00A904C4" w:rsidRDefault="00A904C4" w:rsidP="00A904C4">
      <w:pPr>
        <w:spacing w:after="60"/>
        <w:jc w:val="both"/>
        <w:rPr>
          <w:color w:val="000000"/>
          <w:u w:val="single"/>
          <w:lang w:val="pt-BR" w:eastAsia="pt-BR"/>
        </w:rPr>
      </w:pPr>
      <w:r w:rsidRPr="00A904C4">
        <w:rPr>
          <w:color w:val="000000"/>
          <w:u w:val="single"/>
          <w:lang w:val="pt-BR" w:eastAsia="pt-BR"/>
        </w:rPr>
        <w:t>Metodologia</w:t>
      </w:r>
    </w:p>
    <w:p w14:paraId="3AED1FD4" w14:textId="77777777" w:rsidR="00A904C4" w:rsidRPr="00A904C4" w:rsidRDefault="00A904C4" w:rsidP="00F9664B">
      <w:pPr>
        <w:spacing w:after="60"/>
        <w:jc w:val="both"/>
        <w:rPr>
          <w:lang w:val="pt-BR" w:eastAsia="pt-BR"/>
        </w:rPr>
      </w:pPr>
      <w:r w:rsidRPr="00A904C4">
        <w:rPr>
          <w:lang w:val="pt-BR" w:eastAsia="pt-BR"/>
        </w:rPr>
        <w:t xml:space="preserve">O controle de risco de mercado é baseado </w:t>
      </w:r>
      <w:r w:rsidR="00F9664B">
        <w:rPr>
          <w:lang w:val="pt-BR" w:eastAsia="pt-BR"/>
        </w:rPr>
        <w:t xml:space="preserve">principalmente em testes de stress onde para os cenários definidos (mensalmente ou sempre que houve necessidade de alteração) pelo Comitê de Investimentos calcula-se o P&amp;L das carteiras. </w:t>
      </w:r>
    </w:p>
    <w:p w14:paraId="3AED1FD5" w14:textId="77777777" w:rsidR="00A904C4" w:rsidRPr="00A904C4" w:rsidRDefault="00A904C4" w:rsidP="00A904C4">
      <w:pPr>
        <w:spacing w:after="60"/>
        <w:jc w:val="both"/>
        <w:rPr>
          <w:lang w:val="pt-BR" w:eastAsia="pt-BR"/>
        </w:rPr>
      </w:pPr>
    </w:p>
    <w:p w14:paraId="3AED1FD6" w14:textId="77777777" w:rsidR="00A904C4" w:rsidRPr="00A904C4" w:rsidRDefault="00A904C4" w:rsidP="00A904C4">
      <w:pPr>
        <w:spacing w:after="60"/>
        <w:jc w:val="both"/>
        <w:rPr>
          <w:color w:val="000000"/>
          <w:u w:val="single"/>
          <w:lang w:val="pt-BR" w:eastAsia="pt-BR"/>
        </w:rPr>
      </w:pPr>
      <w:r w:rsidRPr="00A904C4">
        <w:rPr>
          <w:color w:val="000000"/>
          <w:u w:val="single"/>
          <w:lang w:val="pt-BR" w:eastAsia="pt-BR"/>
        </w:rPr>
        <w:t>Processo</w:t>
      </w:r>
    </w:p>
    <w:p w14:paraId="3AED1FD7" w14:textId="77777777" w:rsidR="00A904C4" w:rsidRPr="00A904C4" w:rsidRDefault="00A904C4" w:rsidP="00A904C4">
      <w:pPr>
        <w:spacing w:after="60"/>
        <w:jc w:val="both"/>
        <w:rPr>
          <w:color w:val="000000"/>
          <w:lang w:val="pt-BR" w:eastAsia="pt-BR"/>
        </w:rPr>
      </w:pPr>
      <w:r w:rsidRPr="00A904C4">
        <w:rPr>
          <w:color w:val="000000"/>
          <w:lang w:val="pt-BR" w:eastAsia="pt-BR"/>
        </w:rPr>
        <w:t xml:space="preserve">- O Comitê </w:t>
      </w:r>
      <w:r w:rsidR="00F9664B">
        <w:rPr>
          <w:color w:val="000000"/>
          <w:lang w:val="pt-BR" w:eastAsia="pt-BR"/>
        </w:rPr>
        <w:t xml:space="preserve">de Investimentos </w:t>
      </w:r>
      <w:r w:rsidRPr="00A904C4">
        <w:rPr>
          <w:color w:val="000000"/>
          <w:lang w:val="pt-BR" w:eastAsia="pt-BR"/>
        </w:rPr>
        <w:t xml:space="preserve">define os cenários para realização dos testes de stress. Esses cenários são revistos </w:t>
      </w:r>
      <w:r w:rsidR="00B02FF0">
        <w:rPr>
          <w:color w:val="000000"/>
          <w:lang w:val="pt-BR" w:eastAsia="pt-BR"/>
        </w:rPr>
        <w:t>periodicamente</w:t>
      </w:r>
      <w:r w:rsidRPr="00A904C4">
        <w:rPr>
          <w:color w:val="000000"/>
          <w:lang w:val="pt-BR" w:eastAsia="pt-BR"/>
        </w:rPr>
        <w:t xml:space="preserve">. </w:t>
      </w:r>
    </w:p>
    <w:p w14:paraId="3AED1FD8" w14:textId="77777777" w:rsidR="00A904C4" w:rsidRPr="00A904C4" w:rsidRDefault="00A904C4" w:rsidP="00A904C4">
      <w:pPr>
        <w:spacing w:after="60"/>
        <w:jc w:val="both"/>
        <w:rPr>
          <w:color w:val="000000"/>
          <w:lang w:val="pt-BR" w:eastAsia="pt-BR"/>
        </w:rPr>
      </w:pPr>
      <w:r w:rsidRPr="00A904C4">
        <w:rPr>
          <w:color w:val="000000"/>
          <w:lang w:val="pt-BR" w:eastAsia="pt-BR"/>
        </w:rPr>
        <w:t>Para cada Portfólio:</w:t>
      </w:r>
    </w:p>
    <w:p w14:paraId="3AED1FD9" w14:textId="77777777" w:rsidR="00A904C4" w:rsidRPr="00A904C4" w:rsidRDefault="00A904C4" w:rsidP="00A904C4">
      <w:pPr>
        <w:spacing w:after="60"/>
        <w:jc w:val="both"/>
        <w:rPr>
          <w:color w:val="000000"/>
          <w:lang w:val="pt-BR" w:eastAsia="pt-BR"/>
        </w:rPr>
      </w:pPr>
      <w:r w:rsidRPr="00A904C4">
        <w:rPr>
          <w:color w:val="000000"/>
          <w:lang w:val="pt-BR" w:eastAsia="pt-BR"/>
        </w:rPr>
        <w:t xml:space="preserve">- O Comitê </w:t>
      </w:r>
      <w:r w:rsidR="00B02FF0">
        <w:rPr>
          <w:color w:val="000000"/>
          <w:lang w:val="pt-BR" w:eastAsia="pt-BR"/>
        </w:rPr>
        <w:t>de Investimentos</w:t>
      </w:r>
      <w:r w:rsidRPr="00A904C4">
        <w:rPr>
          <w:color w:val="000000"/>
          <w:lang w:val="pt-BR" w:eastAsia="pt-BR"/>
        </w:rPr>
        <w:t xml:space="preserve"> define limites de risco de mercado, levando em conta a rentabilidade alvo, os produtos que podem ser negociados e a tolerância </w:t>
      </w:r>
      <w:r w:rsidR="00B02FF0">
        <w:rPr>
          <w:color w:val="000000"/>
          <w:lang w:val="pt-BR" w:eastAsia="pt-BR"/>
        </w:rPr>
        <w:t>ao</w:t>
      </w:r>
      <w:r w:rsidRPr="00A904C4">
        <w:rPr>
          <w:color w:val="000000"/>
          <w:lang w:val="pt-BR" w:eastAsia="pt-BR"/>
        </w:rPr>
        <w:t xml:space="preserve"> risco. A definição desses riscos é reavaliada sempre que necessário.</w:t>
      </w:r>
    </w:p>
    <w:p w14:paraId="3AED1FDA" w14:textId="77777777" w:rsidR="00A904C4" w:rsidRPr="00A904C4" w:rsidRDefault="00A904C4" w:rsidP="00A904C4">
      <w:pPr>
        <w:spacing w:after="60"/>
        <w:jc w:val="both"/>
        <w:rPr>
          <w:color w:val="000000"/>
          <w:lang w:val="pt-BR" w:eastAsia="pt-BR"/>
        </w:rPr>
      </w:pPr>
      <w:r w:rsidRPr="00A904C4">
        <w:rPr>
          <w:color w:val="000000"/>
          <w:lang w:val="pt-BR" w:eastAsia="pt-BR"/>
        </w:rPr>
        <w:t>- Em caso de desenquadramento o gestor é obrigado a regularizar a posição, sempre que ocorrer o apontamento.</w:t>
      </w:r>
    </w:p>
    <w:p w14:paraId="3AED1FDB" w14:textId="77777777" w:rsidR="00A904C4" w:rsidRPr="00A904C4" w:rsidRDefault="00A904C4" w:rsidP="00A904C4">
      <w:pPr>
        <w:spacing w:after="60"/>
        <w:jc w:val="both"/>
        <w:rPr>
          <w:color w:val="000000"/>
          <w:lang w:val="pt-BR" w:eastAsia="pt-BR"/>
        </w:rPr>
      </w:pPr>
    </w:p>
    <w:p w14:paraId="3AED1FDC" w14:textId="77777777" w:rsidR="00A904C4" w:rsidRPr="001079F7" w:rsidRDefault="00A904C4" w:rsidP="00A904C4">
      <w:pPr>
        <w:spacing w:after="60"/>
        <w:jc w:val="both"/>
        <w:rPr>
          <w:color w:val="000000"/>
          <w:u w:val="single"/>
          <w:lang w:eastAsia="pt-BR"/>
        </w:rPr>
      </w:pPr>
      <w:proofErr w:type="spellStart"/>
      <w:r>
        <w:rPr>
          <w:color w:val="000000"/>
          <w:u w:val="single"/>
          <w:lang w:eastAsia="pt-BR"/>
        </w:rPr>
        <w:t>Relatórios</w:t>
      </w:r>
      <w:proofErr w:type="spellEnd"/>
    </w:p>
    <w:p w14:paraId="3AED1FDD" w14:textId="77777777" w:rsidR="00A904C4" w:rsidRDefault="00A904C4" w:rsidP="00A904C4">
      <w:pPr>
        <w:pStyle w:val="PargrafodaLista"/>
        <w:numPr>
          <w:ilvl w:val="0"/>
          <w:numId w:val="6"/>
        </w:numPr>
        <w:spacing w:after="60"/>
        <w:jc w:val="both"/>
        <w:rPr>
          <w:rFonts w:ascii="Times New Roman" w:hAnsi="Times New Roman" w:cs="Times New Roman"/>
          <w:sz w:val="24"/>
          <w:szCs w:val="24"/>
          <w:lang w:eastAsia="pt-BR"/>
        </w:rPr>
      </w:pPr>
      <w:r>
        <w:rPr>
          <w:rFonts w:ascii="Times New Roman" w:hAnsi="Times New Roman" w:cs="Times New Roman"/>
          <w:sz w:val="24"/>
          <w:szCs w:val="24"/>
          <w:lang w:eastAsia="pt-BR"/>
        </w:rPr>
        <w:t>Relatório de limites aprovados para cada Portfólio</w:t>
      </w:r>
      <w:r w:rsidR="00B02FF0">
        <w:rPr>
          <w:rFonts w:ascii="Times New Roman" w:hAnsi="Times New Roman" w:cs="Times New Roman"/>
          <w:sz w:val="24"/>
          <w:szCs w:val="24"/>
          <w:lang w:eastAsia="pt-BR"/>
        </w:rPr>
        <w:t xml:space="preserve"> (elaborado pelo Comitê de Investimentos)</w:t>
      </w:r>
    </w:p>
    <w:p w14:paraId="3AED1FDE" w14:textId="77777777" w:rsidR="00A904C4" w:rsidRDefault="00A904C4" w:rsidP="00A904C4">
      <w:pPr>
        <w:pStyle w:val="PargrafodaLista"/>
        <w:numPr>
          <w:ilvl w:val="0"/>
          <w:numId w:val="6"/>
        </w:numPr>
        <w:spacing w:after="60"/>
        <w:jc w:val="both"/>
        <w:rPr>
          <w:rFonts w:ascii="Times New Roman" w:hAnsi="Times New Roman" w:cs="Times New Roman"/>
          <w:sz w:val="24"/>
          <w:szCs w:val="24"/>
          <w:lang w:eastAsia="pt-BR"/>
        </w:rPr>
      </w:pPr>
      <w:r>
        <w:rPr>
          <w:rFonts w:ascii="Times New Roman" w:hAnsi="Times New Roman" w:cs="Times New Roman"/>
          <w:sz w:val="24"/>
          <w:szCs w:val="24"/>
          <w:lang w:eastAsia="pt-BR"/>
        </w:rPr>
        <w:t>Relatório de cenários para realização do Stress Test</w:t>
      </w:r>
      <w:r w:rsidR="00B02FF0">
        <w:rPr>
          <w:rFonts w:ascii="Times New Roman" w:hAnsi="Times New Roman" w:cs="Times New Roman"/>
          <w:sz w:val="24"/>
          <w:szCs w:val="24"/>
          <w:lang w:eastAsia="pt-BR"/>
        </w:rPr>
        <w:t xml:space="preserve"> (elaborado pelo Comitê de Investimentos)</w:t>
      </w:r>
    </w:p>
    <w:p w14:paraId="3AED1FDF" w14:textId="77777777" w:rsidR="00A904C4" w:rsidRPr="00D664B8" w:rsidRDefault="00A904C4" w:rsidP="00A904C4">
      <w:pPr>
        <w:pStyle w:val="PargrafodaLista"/>
        <w:numPr>
          <w:ilvl w:val="0"/>
          <w:numId w:val="6"/>
        </w:numPr>
        <w:spacing w:after="60"/>
        <w:jc w:val="both"/>
        <w:rPr>
          <w:rFonts w:ascii="Times New Roman" w:hAnsi="Times New Roman" w:cs="Times New Roman"/>
          <w:sz w:val="24"/>
          <w:szCs w:val="24"/>
          <w:lang w:eastAsia="pt-BR"/>
        </w:rPr>
      </w:pPr>
      <w:r>
        <w:rPr>
          <w:rFonts w:ascii="Times New Roman" w:hAnsi="Times New Roman" w:cs="Times New Roman"/>
          <w:sz w:val="24"/>
          <w:szCs w:val="24"/>
          <w:lang w:eastAsia="pt-BR"/>
        </w:rPr>
        <w:t>Relatório de Stress Test para cada portfólio (</w:t>
      </w:r>
      <w:r w:rsidR="00B02FF0">
        <w:rPr>
          <w:rFonts w:ascii="Times New Roman" w:hAnsi="Times New Roman" w:cs="Times New Roman"/>
          <w:sz w:val="24"/>
          <w:szCs w:val="24"/>
          <w:lang w:eastAsia="pt-BR"/>
        </w:rPr>
        <w:t>elaborado pelo responsável por R</w:t>
      </w:r>
      <w:r>
        <w:rPr>
          <w:rFonts w:ascii="Times New Roman" w:hAnsi="Times New Roman" w:cs="Times New Roman"/>
          <w:sz w:val="24"/>
          <w:szCs w:val="24"/>
          <w:lang w:eastAsia="pt-BR"/>
        </w:rPr>
        <w:t>isco)</w:t>
      </w:r>
    </w:p>
    <w:p w14:paraId="3AED1FE0" w14:textId="77777777" w:rsidR="00A904C4" w:rsidRPr="00C97FF9" w:rsidRDefault="00A904C4" w:rsidP="00A904C4">
      <w:pPr>
        <w:pStyle w:val="PargrafodaLista"/>
        <w:numPr>
          <w:ilvl w:val="0"/>
          <w:numId w:val="6"/>
        </w:numPr>
        <w:spacing w:after="60"/>
        <w:jc w:val="both"/>
        <w:rPr>
          <w:rFonts w:ascii="Times New Roman" w:hAnsi="Times New Roman" w:cs="Times New Roman"/>
          <w:sz w:val="24"/>
          <w:szCs w:val="24"/>
          <w:lang w:eastAsia="pt-BR"/>
        </w:rPr>
      </w:pPr>
      <w:r>
        <w:rPr>
          <w:rFonts w:ascii="Times New Roman" w:hAnsi="Times New Roman" w:cs="Times New Roman"/>
          <w:sz w:val="24"/>
          <w:szCs w:val="24"/>
          <w:lang w:eastAsia="pt-BR"/>
        </w:rPr>
        <w:t>Relatório mensal de desenquadramentos (elaborado pelo responsável por Risco)</w:t>
      </w:r>
    </w:p>
    <w:p w14:paraId="3AED1FE1" w14:textId="77777777" w:rsidR="00A904C4" w:rsidRPr="00A904C4" w:rsidRDefault="00A904C4" w:rsidP="00A904C4">
      <w:pPr>
        <w:jc w:val="both"/>
        <w:rPr>
          <w:b/>
          <w:bCs/>
          <w:color w:val="000000"/>
          <w:lang w:val="pt-BR" w:eastAsia="pt-BR"/>
        </w:rPr>
      </w:pPr>
    </w:p>
    <w:p w14:paraId="3AED1FE2" w14:textId="77777777" w:rsidR="00A904C4" w:rsidRPr="00D664B8" w:rsidRDefault="00A904C4" w:rsidP="00A904C4">
      <w:pPr>
        <w:pStyle w:val="PargrafodaLista"/>
        <w:numPr>
          <w:ilvl w:val="0"/>
          <w:numId w:val="3"/>
        </w:numPr>
        <w:spacing w:after="60"/>
        <w:jc w:val="both"/>
        <w:rPr>
          <w:rFonts w:ascii="Times New Roman" w:eastAsia="Times New Roman" w:hAnsi="Times New Roman" w:cs="Times New Roman"/>
          <w:color w:val="000000"/>
          <w:sz w:val="24"/>
          <w:szCs w:val="24"/>
          <w:lang w:eastAsia="pt-BR"/>
        </w:rPr>
      </w:pPr>
      <w:r w:rsidRPr="00D664B8">
        <w:rPr>
          <w:rFonts w:ascii="Times New Roman" w:eastAsia="Times New Roman" w:hAnsi="Times New Roman" w:cs="Times New Roman"/>
          <w:b/>
          <w:bCs/>
          <w:color w:val="000000"/>
          <w:sz w:val="24"/>
          <w:szCs w:val="24"/>
          <w:lang w:eastAsia="pt-BR"/>
        </w:rPr>
        <w:t>Risco de Liquidez</w:t>
      </w:r>
    </w:p>
    <w:p w14:paraId="3AED1FE3" w14:textId="77777777" w:rsidR="00A904C4" w:rsidRDefault="00A904C4" w:rsidP="00A904C4">
      <w:pPr>
        <w:spacing w:after="60"/>
        <w:jc w:val="both"/>
        <w:rPr>
          <w:color w:val="000000"/>
          <w:u w:val="single"/>
          <w:lang w:eastAsia="pt-BR"/>
        </w:rPr>
      </w:pPr>
    </w:p>
    <w:p w14:paraId="3AED1FE4" w14:textId="77777777" w:rsidR="00A904C4" w:rsidRPr="004E19CC" w:rsidRDefault="00A904C4" w:rsidP="00A904C4">
      <w:pPr>
        <w:spacing w:after="60"/>
        <w:jc w:val="both"/>
        <w:rPr>
          <w:color w:val="000000"/>
          <w:u w:val="single"/>
          <w:lang w:eastAsia="pt-BR"/>
        </w:rPr>
      </w:pPr>
      <w:proofErr w:type="spellStart"/>
      <w:r>
        <w:rPr>
          <w:color w:val="000000"/>
          <w:u w:val="single"/>
          <w:lang w:eastAsia="pt-BR"/>
        </w:rPr>
        <w:t>Definição</w:t>
      </w:r>
      <w:proofErr w:type="spellEnd"/>
    </w:p>
    <w:p w14:paraId="3AED1FE5" w14:textId="77777777" w:rsidR="00A904C4" w:rsidRPr="00A904C4" w:rsidRDefault="00A904C4" w:rsidP="00A904C4">
      <w:pPr>
        <w:spacing w:after="60"/>
        <w:jc w:val="both"/>
        <w:rPr>
          <w:color w:val="000000"/>
          <w:lang w:val="pt-BR" w:eastAsia="pt-BR"/>
        </w:rPr>
      </w:pPr>
      <w:r w:rsidRPr="00A904C4">
        <w:rPr>
          <w:color w:val="000000"/>
          <w:lang w:val="pt-BR" w:eastAsia="pt-BR"/>
        </w:rPr>
        <w:t xml:space="preserve">Risco de Liquidez é a ocorrência de desequilíbrios entre o fluxo de caixa que pode ser gerado pela monetização dos ativos de dado portfólio e seus os passivos exigíveis. Em </w:t>
      </w:r>
      <w:r w:rsidRPr="00A904C4">
        <w:rPr>
          <w:color w:val="000000"/>
          <w:lang w:val="pt-BR" w:eastAsia="pt-BR"/>
        </w:rPr>
        <w:lastRenderedPageBreak/>
        <w:t>outras palavras, é o risco de que o fluxo de caixa gerado pelos ativos de um dado portfólio (inclusive pela venda ordenada desses ativos) não seja suficiente para fazer frente aos resgates dos investidores dentro do prazo acordado para tais resgates.</w:t>
      </w:r>
    </w:p>
    <w:p w14:paraId="3AED1FE6" w14:textId="77777777" w:rsidR="00A904C4" w:rsidRPr="00A904C4" w:rsidRDefault="00A904C4" w:rsidP="00A904C4">
      <w:pPr>
        <w:spacing w:after="60"/>
        <w:jc w:val="both"/>
        <w:rPr>
          <w:color w:val="000000"/>
          <w:u w:val="single"/>
          <w:lang w:val="pt-BR" w:eastAsia="pt-BR"/>
        </w:rPr>
      </w:pPr>
    </w:p>
    <w:p w14:paraId="3AED1FE7" w14:textId="77777777" w:rsidR="00A904C4" w:rsidRPr="00A904C4" w:rsidRDefault="00A904C4" w:rsidP="00A904C4">
      <w:pPr>
        <w:spacing w:after="60"/>
        <w:jc w:val="both"/>
        <w:rPr>
          <w:color w:val="000000"/>
          <w:u w:val="single"/>
          <w:lang w:val="pt-BR" w:eastAsia="pt-BR"/>
        </w:rPr>
      </w:pPr>
      <w:r w:rsidRPr="00A904C4">
        <w:rPr>
          <w:color w:val="000000"/>
          <w:u w:val="single"/>
          <w:lang w:val="pt-BR" w:eastAsia="pt-BR"/>
        </w:rPr>
        <w:t>Metodologia</w:t>
      </w:r>
    </w:p>
    <w:p w14:paraId="3AED1FE8" w14:textId="77777777" w:rsidR="00A904C4" w:rsidRPr="00A904C4" w:rsidRDefault="00A904C4" w:rsidP="00A904C4">
      <w:pPr>
        <w:spacing w:after="60"/>
        <w:jc w:val="both"/>
        <w:rPr>
          <w:color w:val="000000"/>
          <w:lang w:val="pt-BR" w:eastAsia="pt-BR"/>
        </w:rPr>
      </w:pPr>
      <w:r w:rsidRPr="00A904C4">
        <w:rPr>
          <w:color w:val="000000"/>
          <w:lang w:val="pt-BR" w:eastAsia="pt-BR"/>
        </w:rPr>
        <w:t>O risco de liquidez de um portfólio é gerenciado através da análise da projeção do Fluxo de Caixa da carteira, contemplando diferentes cenários. Em relação aos ativos, definimos critérios para a conversão dos ativos em caixa e consideramos diversos cenários de evolução da carteira e de liquidação dos instrumentos financeiros. Para os passivos, as premissas adotadas incluem a possibilidade de resgates antecipados e também das captações menor do que o previsto.</w:t>
      </w:r>
    </w:p>
    <w:p w14:paraId="3AED1FE9" w14:textId="77777777" w:rsidR="00A904C4" w:rsidRPr="00A904C4" w:rsidRDefault="00A904C4" w:rsidP="00A904C4">
      <w:pPr>
        <w:autoSpaceDE w:val="0"/>
        <w:autoSpaceDN w:val="0"/>
        <w:adjustRightInd w:val="0"/>
        <w:spacing w:after="60"/>
        <w:jc w:val="both"/>
        <w:rPr>
          <w:lang w:val="pt-BR"/>
        </w:rPr>
      </w:pPr>
      <w:r w:rsidRPr="00A904C4">
        <w:rPr>
          <w:lang w:val="pt-BR"/>
        </w:rPr>
        <w:t xml:space="preserve">I) Critérios para medir a liquidez dos ativos que compõem as carteiras e a metodologia para o cálculo do volume de cada ativo que pode ser negociado e convertido para caixa ou liquidado em um (1) dia útil: (definido pelo Comitê </w:t>
      </w:r>
      <w:r w:rsidR="00B02FF0">
        <w:rPr>
          <w:lang w:val="pt-BR"/>
        </w:rPr>
        <w:t>de Investimentos</w:t>
      </w:r>
      <w:r w:rsidRPr="00A904C4">
        <w:rPr>
          <w:lang w:val="pt-BR"/>
        </w:rPr>
        <w:t>)</w:t>
      </w:r>
    </w:p>
    <w:p w14:paraId="3AED1FEA" w14:textId="77777777" w:rsidR="00A904C4" w:rsidRPr="00F9664B" w:rsidRDefault="00A904C4" w:rsidP="00A904C4">
      <w:pPr>
        <w:autoSpaceDE w:val="0"/>
        <w:autoSpaceDN w:val="0"/>
        <w:adjustRightInd w:val="0"/>
        <w:spacing w:after="60"/>
        <w:ind w:left="708"/>
        <w:jc w:val="both"/>
        <w:rPr>
          <w:lang w:val="pt-BR"/>
        </w:rPr>
      </w:pPr>
      <w:r w:rsidRPr="00B02FF0">
        <w:rPr>
          <w:lang w:val="pt-BR"/>
        </w:rPr>
        <w:t>a</w:t>
      </w:r>
      <w:r w:rsidRPr="00F9664B">
        <w:rPr>
          <w:lang w:val="pt-BR"/>
        </w:rPr>
        <w:t>) Títulos Públicos (pré-fixados, indexados à SELIC e outros títulos com vencimento em até 10 anos): liquidez imediata (considera-se caixa);</w:t>
      </w:r>
    </w:p>
    <w:p w14:paraId="3AED1FEB" w14:textId="77777777" w:rsidR="00A904C4" w:rsidRPr="00F9664B" w:rsidRDefault="00A904C4" w:rsidP="00A904C4">
      <w:pPr>
        <w:autoSpaceDE w:val="0"/>
        <w:autoSpaceDN w:val="0"/>
        <w:adjustRightInd w:val="0"/>
        <w:spacing w:after="60"/>
        <w:ind w:left="708"/>
        <w:jc w:val="both"/>
        <w:rPr>
          <w:lang w:val="pt-BR"/>
        </w:rPr>
      </w:pPr>
      <w:r w:rsidRPr="00F9664B">
        <w:rPr>
          <w:lang w:val="pt-BR"/>
        </w:rPr>
        <w:t>b) Títulos Públicos (outros): percentual (20%) do volume médio diário negociado nos últimos 15 dias corridos;</w:t>
      </w:r>
    </w:p>
    <w:p w14:paraId="3AED1FEC" w14:textId="77777777" w:rsidR="00A904C4" w:rsidRPr="00F9664B" w:rsidRDefault="00A904C4" w:rsidP="00A904C4">
      <w:pPr>
        <w:autoSpaceDE w:val="0"/>
        <w:autoSpaceDN w:val="0"/>
        <w:adjustRightInd w:val="0"/>
        <w:spacing w:after="60"/>
        <w:ind w:left="708"/>
        <w:jc w:val="both"/>
        <w:rPr>
          <w:lang w:val="pt-BR"/>
        </w:rPr>
      </w:pPr>
      <w:r w:rsidRPr="00F9664B">
        <w:rPr>
          <w:lang w:val="pt-BR"/>
        </w:rPr>
        <w:t>c) Títulos Privados com resgate antecipado: liquidez imediata (após eventual prazo de carência);</w:t>
      </w:r>
    </w:p>
    <w:p w14:paraId="3AED1FED" w14:textId="77777777" w:rsidR="00A904C4" w:rsidRPr="00F9664B" w:rsidRDefault="00A904C4" w:rsidP="00A904C4">
      <w:pPr>
        <w:autoSpaceDE w:val="0"/>
        <w:autoSpaceDN w:val="0"/>
        <w:adjustRightInd w:val="0"/>
        <w:spacing w:after="60"/>
        <w:ind w:left="708"/>
        <w:jc w:val="both"/>
        <w:rPr>
          <w:lang w:val="pt-BR"/>
        </w:rPr>
      </w:pPr>
      <w:r w:rsidRPr="00F9664B">
        <w:rPr>
          <w:lang w:val="pt-BR"/>
        </w:rPr>
        <w:t xml:space="preserve">d) Títulos Privados (outros): percentual (20%) do volume médio diário negociado nos últimos 15 dias corridos ou fluxo de caixa do título ou ainda definido a critério do Gestor </w:t>
      </w:r>
      <w:r w:rsidRPr="00F9664B">
        <w:rPr>
          <w:vertAlign w:val="superscript"/>
          <w:lang w:val="pt-BR"/>
        </w:rPr>
        <w:t>(1)</w:t>
      </w:r>
      <w:r w:rsidRPr="00F9664B">
        <w:rPr>
          <w:lang w:val="pt-BR"/>
        </w:rPr>
        <w:t>;</w:t>
      </w:r>
    </w:p>
    <w:p w14:paraId="3AED1FEE" w14:textId="77777777" w:rsidR="00A904C4" w:rsidRPr="00F9664B" w:rsidRDefault="00A904C4" w:rsidP="00A904C4">
      <w:pPr>
        <w:autoSpaceDE w:val="0"/>
        <w:autoSpaceDN w:val="0"/>
        <w:adjustRightInd w:val="0"/>
        <w:spacing w:after="60"/>
        <w:ind w:left="708"/>
        <w:jc w:val="both"/>
        <w:rPr>
          <w:lang w:val="pt-BR"/>
        </w:rPr>
      </w:pPr>
      <w:r w:rsidRPr="00F9664B">
        <w:rPr>
          <w:lang w:val="pt-BR"/>
        </w:rPr>
        <w:t>e) Fundos de Investimentos: liquidez imediata (caixa) após o prazo para a cotização</w:t>
      </w:r>
      <w:r w:rsidR="00741498">
        <w:rPr>
          <w:lang w:val="pt-BR"/>
        </w:rPr>
        <w:t xml:space="preserve"> e/ou resgates previsto nos respectivos Regulamentos;  </w:t>
      </w:r>
    </w:p>
    <w:p w14:paraId="3AED1FEF" w14:textId="77777777" w:rsidR="00A904C4" w:rsidRPr="00F9664B" w:rsidRDefault="00A904C4" w:rsidP="00A904C4">
      <w:pPr>
        <w:autoSpaceDE w:val="0"/>
        <w:autoSpaceDN w:val="0"/>
        <w:adjustRightInd w:val="0"/>
        <w:spacing w:after="60"/>
        <w:ind w:left="708"/>
        <w:jc w:val="both"/>
        <w:rPr>
          <w:lang w:val="pt-BR"/>
        </w:rPr>
      </w:pPr>
      <w:r w:rsidRPr="00F9664B">
        <w:rPr>
          <w:lang w:val="pt-BR"/>
        </w:rPr>
        <w:t>f) Ações: percentual (20%) do volume médio diário negociado nos últimos 15 dias corridos;</w:t>
      </w:r>
    </w:p>
    <w:p w14:paraId="3AED1FF0" w14:textId="77777777" w:rsidR="00A904C4" w:rsidRPr="00F9664B" w:rsidRDefault="00A904C4" w:rsidP="00A904C4">
      <w:pPr>
        <w:autoSpaceDE w:val="0"/>
        <w:autoSpaceDN w:val="0"/>
        <w:adjustRightInd w:val="0"/>
        <w:spacing w:after="60"/>
        <w:ind w:left="708"/>
        <w:jc w:val="both"/>
        <w:rPr>
          <w:lang w:val="pt-BR"/>
        </w:rPr>
      </w:pPr>
      <w:r w:rsidRPr="00F9664B">
        <w:rPr>
          <w:lang w:val="pt-BR"/>
        </w:rPr>
        <w:t xml:space="preserve">g) Derivativos Listados em Bolsa: percentual (20%) do volume médio diário negociado nos últimos 15 dias corridos (vale tanto para a zeragem das posições quanto para a liberação das margens de garantia </w:t>
      </w:r>
      <w:r w:rsidRPr="00F9664B">
        <w:rPr>
          <w:vertAlign w:val="superscript"/>
          <w:lang w:val="pt-BR"/>
        </w:rPr>
        <w:t>(2)</w:t>
      </w:r>
      <w:r w:rsidRPr="00F9664B">
        <w:rPr>
          <w:lang w:val="pt-BR"/>
        </w:rPr>
        <w:t>);</w:t>
      </w:r>
    </w:p>
    <w:p w14:paraId="3AED1FF1" w14:textId="77777777" w:rsidR="00A904C4" w:rsidRPr="00F9664B" w:rsidRDefault="00A904C4" w:rsidP="00A904C4">
      <w:pPr>
        <w:autoSpaceDE w:val="0"/>
        <w:autoSpaceDN w:val="0"/>
        <w:adjustRightInd w:val="0"/>
        <w:spacing w:after="60"/>
        <w:ind w:left="708"/>
        <w:jc w:val="both"/>
        <w:rPr>
          <w:lang w:val="pt-BR"/>
        </w:rPr>
      </w:pPr>
      <w:r w:rsidRPr="00F9664B">
        <w:rPr>
          <w:lang w:val="pt-BR"/>
        </w:rPr>
        <w:t xml:space="preserve">h) Derivativos Negociados em Balcão: fluxo de caixa do contrato ou definido a critério do Gestor </w:t>
      </w:r>
      <w:r w:rsidRPr="00F9664B">
        <w:rPr>
          <w:vertAlign w:val="superscript"/>
          <w:lang w:val="pt-BR"/>
        </w:rPr>
        <w:t>(1)</w:t>
      </w:r>
      <w:r w:rsidRPr="00F9664B">
        <w:rPr>
          <w:lang w:val="pt-BR"/>
        </w:rPr>
        <w:t>.</w:t>
      </w:r>
    </w:p>
    <w:p w14:paraId="3AED1FF2" w14:textId="77777777" w:rsidR="00A904C4" w:rsidRPr="00F9664B" w:rsidRDefault="00A904C4" w:rsidP="00A904C4">
      <w:pPr>
        <w:autoSpaceDE w:val="0"/>
        <w:autoSpaceDN w:val="0"/>
        <w:adjustRightInd w:val="0"/>
        <w:spacing w:after="60"/>
        <w:jc w:val="both"/>
        <w:rPr>
          <w:lang w:val="pt-BR"/>
        </w:rPr>
      </w:pPr>
      <w:r w:rsidRPr="00F9664B">
        <w:rPr>
          <w:vertAlign w:val="superscript"/>
          <w:lang w:val="pt-BR"/>
        </w:rPr>
        <w:t>(1)</w:t>
      </w:r>
      <w:r w:rsidRPr="00F9664B">
        <w:rPr>
          <w:lang w:val="pt-BR"/>
        </w:rPr>
        <w:t xml:space="preserve"> O Gestor definir o prazo para negociar e liquidar posições de títulos privados e de derivativos negociados em balcão pode parecer subjetivo e pouco técnico, mas acreditamos ser a melhor maneira para considerar a liquidez de títulos que, apesar de raramente negociados, possuem formadores de mercado e/ou partes interessadas em negociá-los. Isso é extremamente relevante para a gestão de carteiras com grande exposição a crédito privado, onde esses títulos representam uma parcela bastante significativa do PL do fundo. Quando o Gestor definir o prazo para a liquidez desses ativos, ele deve justificá-lo e, se possível, apontar eventuais compradores (incluindo informações sobre preço e quantidade) que tenham manifestado interesse informalmente. Além disso, o Comitê </w:t>
      </w:r>
      <w:r w:rsidR="00B02FF0">
        <w:rPr>
          <w:lang w:val="pt-BR"/>
        </w:rPr>
        <w:t>de Investimentos</w:t>
      </w:r>
      <w:r w:rsidRPr="00F9664B">
        <w:rPr>
          <w:lang w:val="pt-BR"/>
        </w:rPr>
        <w:t xml:space="preserve"> precisa estar de acordo com a definição do Gestor.</w:t>
      </w:r>
    </w:p>
    <w:p w14:paraId="3AED1FF3" w14:textId="77777777" w:rsidR="00A904C4" w:rsidRPr="00F9664B" w:rsidRDefault="00A904C4" w:rsidP="00A904C4">
      <w:pPr>
        <w:autoSpaceDE w:val="0"/>
        <w:autoSpaceDN w:val="0"/>
        <w:adjustRightInd w:val="0"/>
        <w:spacing w:after="60"/>
        <w:jc w:val="both"/>
        <w:rPr>
          <w:lang w:val="pt-BR"/>
        </w:rPr>
      </w:pPr>
      <w:r w:rsidRPr="00F9664B">
        <w:rPr>
          <w:vertAlign w:val="superscript"/>
          <w:lang w:val="pt-BR"/>
        </w:rPr>
        <w:t>(2)</w:t>
      </w:r>
      <w:r w:rsidRPr="00F9664B">
        <w:rPr>
          <w:lang w:val="pt-BR"/>
        </w:rPr>
        <w:t xml:space="preserve"> Ativos depositados como margem de garantia serão considerados indisponíveis até a sua liberação, quando então serão submetidos aos critérios acima descritos.</w:t>
      </w:r>
    </w:p>
    <w:p w14:paraId="3AED1FF4" w14:textId="77777777" w:rsidR="00A904C4" w:rsidRPr="00F9664B" w:rsidRDefault="00A904C4" w:rsidP="00A904C4">
      <w:pPr>
        <w:autoSpaceDE w:val="0"/>
        <w:autoSpaceDN w:val="0"/>
        <w:adjustRightInd w:val="0"/>
        <w:spacing w:after="60"/>
        <w:jc w:val="both"/>
        <w:rPr>
          <w:lang w:val="pt-BR"/>
        </w:rPr>
      </w:pPr>
    </w:p>
    <w:p w14:paraId="3AED1FF5" w14:textId="77777777" w:rsidR="00A904C4" w:rsidRPr="00F9664B" w:rsidRDefault="00A904C4" w:rsidP="00A904C4">
      <w:pPr>
        <w:autoSpaceDE w:val="0"/>
        <w:autoSpaceDN w:val="0"/>
        <w:adjustRightInd w:val="0"/>
        <w:spacing w:after="60"/>
        <w:jc w:val="both"/>
        <w:rPr>
          <w:lang w:val="pt-BR"/>
        </w:rPr>
      </w:pPr>
      <w:r w:rsidRPr="00F9664B">
        <w:rPr>
          <w:lang w:val="pt-BR"/>
        </w:rPr>
        <w:lastRenderedPageBreak/>
        <w:t>II) Critérios para controle da liquidez das carteiras:</w:t>
      </w:r>
    </w:p>
    <w:p w14:paraId="3AED1FF6" w14:textId="77777777" w:rsidR="00A904C4" w:rsidRPr="00F9664B" w:rsidRDefault="00A904C4" w:rsidP="00A904C4">
      <w:pPr>
        <w:autoSpaceDE w:val="0"/>
        <w:autoSpaceDN w:val="0"/>
        <w:adjustRightInd w:val="0"/>
        <w:spacing w:after="60"/>
        <w:jc w:val="both"/>
        <w:rPr>
          <w:lang w:val="pt-BR"/>
        </w:rPr>
      </w:pPr>
      <w:r w:rsidRPr="00F9664B">
        <w:rPr>
          <w:lang w:val="pt-BR"/>
        </w:rPr>
        <w:t>O controle de liquidez das carteiras é feito comparando-se a liquidez dos ativos com a expectativa de necessidade face os resgates projetados do fundo.</w:t>
      </w:r>
    </w:p>
    <w:p w14:paraId="3AED1FF7" w14:textId="77777777" w:rsidR="00A904C4" w:rsidRPr="00F9664B" w:rsidRDefault="00A904C4" w:rsidP="00A904C4">
      <w:pPr>
        <w:autoSpaceDE w:val="0"/>
        <w:autoSpaceDN w:val="0"/>
        <w:adjustRightInd w:val="0"/>
        <w:spacing w:after="60"/>
        <w:jc w:val="both"/>
        <w:rPr>
          <w:iCs/>
          <w:lang w:val="pt-BR"/>
        </w:rPr>
      </w:pPr>
      <w:r w:rsidRPr="00F9664B">
        <w:rPr>
          <w:iCs/>
          <w:lang w:val="pt-BR"/>
        </w:rPr>
        <w:t>ATIVO</w:t>
      </w:r>
    </w:p>
    <w:p w14:paraId="3AED1FF8" w14:textId="77777777" w:rsidR="00A904C4" w:rsidRPr="00F9664B" w:rsidRDefault="00A904C4" w:rsidP="00A904C4">
      <w:pPr>
        <w:autoSpaceDE w:val="0"/>
        <w:autoSpaceDN w:val="0"/>
        <w:adjustRightInd w:val="0"/>
        <w:spacing w:after="60"/>
        <w:jc w:val="both"/>
        <w:rPr>
          <w:lang w:val="pt-BR"/>
        </w:rPr>
      </w:pPr>
      <w:r w:rsidRPr="00F9664B">
        <w:rPr>
          <w:lang w:val="pt-BR"/>
        </w:rPr>
        <w:t>Utilizando-se da quantidade de cada ativo que pode ser negociada em um dia útil, elabora-se uma tabela com fluxo de caixa gerado pela venda dos ativos do fundo considerando os critérios de volume estabelecidos e o preço constante (ajustado pela variação prevista do título em função do prazo decorrido). Essa análise deve ser elaborada semanalmente e sempre que houver mudança significativa no portfólio do fundo.</w:t>
      </w:r>
    </w:p>
    <w:p w14:paraId="3AED1FF9" w14:textId="77777777" w:rsidR="00A904C4" w:rsidRPr="00F9664B" w:rsidRDefault="00A904C4" w:rsidP="00A904C4">
      <w:pPr>
        <w:autoSpaceDE w:val="0"/>
        <w:autoSpaceDN w:val="0"/>
        <w:adjustRightInd w:val="0"/>
        <w:spacing w:after="60"/>
        <w:jc w:val="both"/>
        <w:rPr>
          <w:iCs/>
          <w:lang w:val="pt-BR"/>
        </w:rPr>
      </w:pPr>
      <w:r w:rsidRPr="00F9664B">
        <w:rPr>
          <w:iCs/>
          <w:lang w:val="pt-BR"/>
        </w:rPr>
        <w:t>PASSIVO – Cenário Base</w:t>
      </w:r>
    </w:p>
    <w:p w14:paraId="3AED1FFA" w14:textId="77777777" w:rsidR="00A904C4" w:rsidRPr="00F9664B" w:rsidRDefault="00A904C4" w:rsidP="00A904C4">
      <w:pPr>
        <w:autoSpaceDE w:val="0"/>
        <w:autoSpaceDN w:val="0"/>
        <w:adjustRightInd w:val="0"/>
        <w:spacing w:after="60"/>
        <w:jc w:val="both"/>
        <w:rPr>
          <w:lang w:val="pt-BR"/>
        </w:rPr>
      </w:pPr>
      <w:r w:rsidRPr="00F9664B">
        <w:rPr>
          <w:lang w:val="pt-BR"/>
        </w:rPr>
        <w:t>Considera-se o resgate de 20% das cotas do fundo.</w:t>
      </w:r>
    </w:p>
    <w:p w14:paraId="3AED1FFB" w14:textId="77777777" w:rsidR="00A904C4" w:rsidRPr="00F9664B" w:rsidRDefault="00A904C4" w:rsidP="00A904C4">
      <w:pPr>
        <w:autoSpaceDE w:val="0"/>
        <w:autoSpaceDN w:val="0"/>
        <w:adjustRightInd w:val="0"/>
        <w:spacing w:after="60"/>
        <w:jc w:val="both"/>
        <w:rPr>
          <w:iCs/>
          <w:lang w:val="pt-BR"/>
        </w:rPr>
      </w:pPr>
      <w:r w:rsidRPr="00F9664B">
        <w:rPr>
          <w:iCs/>
          <w:lang w:val="pt-BR"/>
        </w:rPr>
        <w:t>PASSIVO – Cenário de Stress</w:t>
      </w:r>
    </w:p>
    <w:p w14:paraId="3AED1FFC" w14:textId="77777777" w:rsidR="00A904C4" w:rsidRPr="00F9664B" w:rsidRDefault="00A904C4" w:rsidP="00A904C4">
      <w:pPr>
        <w:autoSpaceDE w:val="0"/>
        <w:autoSpaceDN w:val="0"/>
        <w:adjustRightInd w:val="0"/>
        <w:spacing w:after="60"/>
        <w:jc w:val="both"/>
        <w:rPr>
          <w:lang w:val="pt-BR"/>
        </w:rPr>
      </w:pPr>
      <w:r w:rsidRPr="00F9664B">
        <w:rPr>
          <w:lang w:val="pt-BR"/>
        </w:rPr>
        <w:t>Considera-se o resgate de 50% das cotas do fundo.</w:t>
      </w:r>
    </w:p>
    <w:p w14:paraId="3AED1FFD" w14:textId="77777777" w:rsidR="00A904C4" w:rsidRPr="00F9664B" w:rsidRDefault="00A904C4" w:rsidP="00A904C4">
      <w:pPr>
        <w:autoSpaceDE w:val="0"/>
        <w:autoSpaceDN w:val="0"/>
        <w:adjustRightInd w:val="0"/>
        <w:spacing w:after="60"/>
        <w:jc w:val="both"/>
        <w:rPr>
          <w:lang w:val="pt-BR"/>
        </w:rPr>
      </w:pPr>
      <w:r w:rsidRPr="00F9664B">
        <w:rPr>
          <w:lang w:val="pt-BR"/>
        </w:rPr>
        <w:t xml:space="preserve">O Fluxo de Caixa apresenta o saldo de caixa por dia útil e o quanto esse saldo representa do PL do fundo na data da análise, e é elaborado para os dois cenários de projeção do passivo (e deve também levar em conta o pagamento das despesas projetadas do fundo assim como de resgates já solicitados). Se o saldo de caixa de um determinado dia (i.e. o saldo do dia anterior mais as movimentações projetadas para o dia) for negativo, existe um furo de caixa. </w:t>
      </w:r>
    </w:p>
    <w:p w14:paraId="3AED1FFE" w14:textId="77777777" w:rsidR="00A904C4" w:rsidRPr="00F9664B" w:rsidRDefault="00A904C4" w:rsidP="00A904C4">
      <w:pPr>
        <w:autoSpaceDE w:val="0"/>
        <w:autoSpaceDN w:val="0"/>
        <w:adjustRightInd w:val="0"/>
        <w:spacing w:after="60"/>
        <w:jc w:val="both"/>
        <w:rPr>
          <w:lang w:val="pt-BR"/>
        </w:rPr>
      </w:pPr>
    </w:p>
    <w:p w14:paraId="3AED1FFF"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III) Critérios para gerenciamento da liquidez das carteiras:</w:t>
      </w:r>
    </w:p>
    <w:p w14:paraId="3AED2000"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A análise de liquidez será realizada com dois focos distintos: Liquidez Imediata (fluxo de caixa de curto prazo) e Liquidez de Médio Prazo (para medir o perfil dos ativos com os passivos do fundo), e para os cenários padrão e stress.</w:t>
      </w:r>
    </w:p>
    <w:p w14:paraId="3AED2001" w14:textId="77777777" w:rsidR="00A904C4" w:rsidRPr="00A904C4" w:rsidRDefault="00A904C4" w:rsidP="00A904C4">
      <w:pPr>
        <w:autoSpaceDE w:val="0"/>
        <w:autoSpaceDN w:val="0"/>
        <w:adjustRightInd w:val="0"/>
        <w:spacing w:after="60"/>
        <w:jc w:val="both"/>
        <w:rPr>
          <w:color w:val="000000"/>
          <w:lang w:val="pt-BR"/>
        </w:rPr>
      </w:pPr>
    </w:p>
    <w:p w14:paraId="3AED2002"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Liquidez Imediata (até 30 dias - cenário padrão)</w:t>
      </w:r>
    </w:p>
    <w:p w14:paraId="3AED2003"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Gatilho: furo de caixa em qualquer dia, de qualquer valor.</w:t>
      </w:r>
    </w:p>
    <w:p w14:paraId="3AED2004"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Plano de Ação: vender ativos menos líquidos.</w:t>
      </w:r>
    </w:p>
    <w:p w14:paraId="3AED2005" w14:textId="77777777" w:rsidR="00A904C4" w:rsidRPr="00A904C4" w:rsidRDefault="00A904C4" w:rsidP="00A904C4">
      <w:pPr>
        <w:autoSpaceDE w:val="0"/>
        <w:autoSpaceDN w:val="0"/>
        <w:adjustRightInd w:val="0"/>
        <w:spacing w:after="60"/>
        <w:jc w:val="both"/>
        <w:rPr>
          <w:color w:val="000000"/>
          <w:lang w:val="pt-BR"/>
        </w:rPr>
      </w:pPr>
    </w:p>
    <w:p w14:paraId="3AED2006"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Liquidez de Médio Prazo (até 180 dias - cenário padrão)</w:t>
      </w:r>
    </w:p>
    <w:p w14:paraId="3AED2007"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Gatilho: furo de caixa maior que 5% do PL que se mantenha por 30 dias nas projeções</w:t>
      </w:r>
    </w:p>
    <w:p w14:paraId="3AED2008"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Plano de Ação: (i) contatar contrapartes para trabalhar a venda de ativos menos líquidos da carteira; (</w:t>
      </w:r>
      <w:proofErr w:type="spellStart"/>
      <w:r w:rsidRPr="00A904C4">
        <w:rPr>
          <w:color w:val="000000"/>
          <w:lang w:val="pt-BR"/>
        </w:rPr>
        <w:t>ii</w:t>
      </w:r>
      <w:proofErr w:type="spellEnd"/>
      <w:r w:rsidRPr="00A904C4">
        <w:rPr>
          <w:color w:val="000000"/>
          <w:lang w:val="pt-BR"/>
        </w:rPr>
        <w:t xml:space="preserve">) estudar eventual alteração no prazo de resgate do fundo (se o desenquadramento entre o fluxo de caixa dos ativos e do passivo se </w:t>
      </w:r>
      <w:proofErr w:type="gramStart"/>
      <w:r w:rsidRPr="00A904C4">
        <w:rPr>
          <w:color w:val="000000"/>
          <w:lang w:val="pt-BR"/>
        </w:rPr>
        <w:t>mostrar  significativo</w:t>
      </w:r>
      <w:proofErr w:type="gramEnd"/>
      <w:r w:rsidRPr="00A904C4">
        <w:rPr>
          <w:color w:val="000000"/>
          <w:lang w:val="pt-BR"/>
        </w:rPr>
        <w:t xml:space="preserve"> e estrutural).</w:t>
      </w:r>
    </w:p>
    <w:p w14:paraId="3AED2009" w14:textId="77777777" w:rsidR="00A904C4" w:rsidRPr="00A904C4" w:rsidRDefault="00A904C4" w:rsidP="00A904C4">
      <w:pPr>
        <w:autoSpaceDE w:val="0"/>
        <w:autoSpaceDN w:val="0"/>
        <w:adjustRightInd w:val="0"/>
        <w:spacing w:after="60"/>
        <w:jc w:val="both"/>
        <w:rPr>
          <w:color w:val="000000"/>
          <w:lang w:val="pt-BR"/>
        </w:rPr>
      </w:pPr>
    </w:p>
    <w:p w14:paraId="3AED200A"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Liquidez Imediata (até 30 dias - cenário stress);</w:t>
      </w:r>
    </w:p>
    <w:p w14:paraId="3AED200B"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Gatilho: furo de caixa em qualquer dia, de qualquer valor.</w:t>
      </w:r>
    </w:p>
    <w:p w14:paraId="3AED200C"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Plano de Ação: (i) realizar acompanhamento junto aos cotistas para monitorar possibilidade/probabilidade de resgates significativos e, se apropriado, iniciar a venda de ativos menos líquidos para enquadrar o fundo; (</w:t>
      </w:r>
      <w:proofErr w:type="spellStart"/>
      <w:r w:rsidRPr="00A904C4">
        <w:rPr>
          <w:color w:val="000000"/>
          <w:lang w:val="pt-BR"/>
        </w:rPr>
        <w:t>ii</w:t>
      </w:r>
      <w:proofErr w:type="spellEnd"/>
      <w:r w:rsidRPr="00A904C4">
        <w:rPr>
          <w:color w:val="000000"/>
          <w:lang w:val="pt-BR"/>
        </w:rPr>
        <w:t>) estudar se é necessário adequar o prazo de cotização de resgate do fundo.</w:t>
      </w:r>
    </w:p>
    <w:p w14:paraId="3AED200D" w14:textId="77777777" w:rsidR="00A904C4" w:rsidRPr="00A904C4" w:rsidRDefault="00A904C4" w:rsidP="00A904C4">
      <w:pPr>
        <w:autoSpaceDE w:val="0"/>
        <w:autoSpaceDN w:val="0"/>
        <w:adjustRightInd w:val="0"/>
        <w:spacing w:after="60"/>
        <w:jc w:val="both"/>
        <w:rPr>
          <w:color w:val="000000"/>
          <w:lang w:val="pt-BR"/>
        </w:rPr>
      </w:pPr>
    </w:p>
    <w:p w14:paraId="3AED200E"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lastRenderedPageBreak/>
        <w:t>Liquidez de Médio Prazo (até 180 dias - cenário stress)</w:t>
      </w:r>
    </w:p>
    <w:p w14:paraId="3AED200F"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Gatilho: furo de caixa maior que 5% do PL que se mantenha por 30 dias nas projeções</w:t>
      </w:r>
    </w:p>
    <w:p w14:paraId="3AED2010"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 xml:space="preserve">Plano de Ação: realizar acompanhamento junto aos cotistas para monitorar possibilidade/probabilidade de resgates significativos e, se apropriado, monitorar a liquidez dos ativos ilíquidos e avaliar o pagamento de resgates com ativos (se permitido pelo regulamento do fundo). </w:t>
      </w:r>
    </w:p>
    <w:p w14:paraId="3AED2011" w14:textId="77777777" w:rsidR="00A904C4" w:rsidRPr="00A904C4" w:rsidRDefault="00A904C4" w:rsidP="00A904C4">
      <w:pPr>
        <w:autoSpaceDE w:val="0"/>
        <w:autoSpaceDN w:val="0"/>
        <w:adjustRightInd w:val="0"/>
        <w:spacing w:after="60"/>
        <w:jc w:val="both"/>
        <w:rPr>
          <w:color w:val="000000"/>
          <w:lang w:val="pt-BR"/>
        </w:rPr>
      </w:pPr>
    </w:p>
    <w:p w14:paraId="3AED2012"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 A análise de liquidez para cada fundo deve ser apresentada semanalmente para o Comitê de Investimentos.</w:t>
      </w:r>
    </w:p>
    <w:p w14:paraId="3AED2013" w14:textId="77777777" w:rsidR="00A904C4" w:rsidRPr="00A904C4" w:rsidRDefault="00A904C4" w:rsidP="00A904C4">
      <w:pPr>
        <w:autoSpaceDE w:val="0"/>
        <w:autoSpaceDN w:val="0"/>
        <w:adjustRightInd w:val="0"/>
        <w:spacing w:after="60"/>
        <w:jc w:val="both"/>
        <w:rPr>
          <w:color w:val="000000"/>
          <w:lang w:val="pt-BR"/>
        </w:rPr>
      </w:pPr>
      <w:r w:rsidRPr="00A904C4">
        <w:rPr>
          <w:color w:val="000000"/>
          <w:lang w:val="pt-BR"/>
        </w:rPr>
        <w:t>- Sempre que o Gatilho for disparado o Plano de Ação deve ser colocado em prática.</w:t>
      </w:r>
    </w:p>
    <w:p w14:paraId="3AED2014" w14:textId="77777777" w:rsidR="00A904C4" w:rsidRPr="00A904C4" w:rsidRDefault="00A904C4" w:rsidP="00A904C4">
      <w:pPr>
        <w:autoSpaceDE w:val="0"/>
        <w:autoSpaceDN w:val="0"/>
        <w:adjustRightInd w:val="0"/>
        <w:spacing w:after="60"/>
        <w:jc w:val="both"/>
        <w:rPr>
          <w:color w:val="000000"/>
          <w:lang w:val="pt-BR" w:eastAsia="pt-BR"/>
        </w:rPr>
      </w:pPr>
      <w:r w:rsidRPr="00A904C4">
        <w:rPr>
          <w:color w:val="000000"/>
          <w:lang w:val="pt-BR"/>
        </w:rPr>
        <w:t>- Para acompanhar o plano de ação para enquadrar a Liquidez Imediata do fundo, o Comitê de Investimentos deverá acompanhar diariamente as ações tomadas para enquadrar o fundo e receber a análise da liquidez diariamente.</w:t>
      </w:r>
    </w:p>
    <w:p w14:paraId="3AED2015" w14:textId="77777777" w:rsidR="00A904C4" w:rsidRPr="00A904C4" w:rsidRDefault="00A904C4" w:rsidP="00A904C4">
      <w:pPr>
        <w:spacing w:after="60"/>
        <w:jc w:val="both"/>
        <w:rPr>
          <w:color w:val="000000"/>
          <w:u w:val="single"/>
          <w:lang w:val="pt-BR" w:eastAsia="pt-BR"/>
        </w:rPr>
      </w:pPr>
    </w:p>
    <w:p w14:paraId="3AED2016" w14:textId="77777777" w:rsidR="00A904C4" w:rsidRPr="00A904C4" w:rsidRDefault="00A904C4" w:rsidP="00A904C4">
      <w:pPr>
        <w:spacing w:after="60"/>
        <w:jc w:val="both"/>
        <w:rPr>
          <w:color w:val="000000"/>
          <w:u w:val="single"/>
          <w:lang w:val="pt-BR" w:eastAsia="pt-BR"/>
        </w:rPr>
      </w:pPr>
      <w:r w:rsidRPr="00A904C4">
        <w:rPr>
          <w:color w:val="000000"/>
          <w:u w:val="single"/>
          <w:lang w:val="pt-BR" w:eastAsia="pt-BR"/>
        </w:rPr>
        <w:t>Processo</w:t>
      </w:r>
    </w:p>
    <w:p w14:paraId="3AED2017" w14:textId="77777777" w:rsidR="00A904C4" w:rsidRPr="00A904C4" w:rsidRDefault="00A904C4" w:rsidP="00A904C4">
      <w:pPr>
        <w:spacing w:after="60"/>
        <w:jc w:val="both"/>
        <w:rPr>
          <w:lang w:val="pt-BR"/>
        </w:rPr>
      </w:pPr>
      <w:r w:rsidRPr="00A904C4">
        <w:rPr>
          <w:color w:val="000000"/>
          <w:lang w:val="pt-BR" w:eastAsia="pt-BR"/>
        </w:rPr>
        <w:t xml:space="preserve">O Comitê </w:t>
      </w:r>
      <w:r w:rsidR="00B02FF0">
        <w:rPr>
          <w:color w:val="000000"/>
          <w:lang w:val="pt-BR" w:eastAsia="pt-BR"/>
        </w:rPr>
        <w:t>de</w:t>
      </w:r>
      <w:r w:rsidRPr="00A904C4">
        <w:rPr>
          <w:color w:val="000000"/>
          <w:lang w:val="pt-BR" w:eastAsia="pt-BR"/>
        </w:rPr>
        <w:t xml:space="preserve"> </w:t>
      </w:r>
      <w:r w:rsidR="00B02FF0">
        <w:rPr>
          <w:color w:val="000000"/>
          <w:lang w:val="pt-BR" w:eastAsia="pt-BR"/>
        </w:rPr>
        <w:t>Investimentos</w:t>
      </w:r>
      <w:r w:rsidRPr="00A904C4">
        <w:rPr>
          <w:color w:val="000000"/>
          <w:lang w:val="pt-BR" w:eastAsia="pt-BR"/>
        </w:rPr>
        <w:t xml:space="preserve"> define os critérios para mediar a liquidez dos ativos e os cenários</w:t>
      </w:r>
      <w:r w:rsidRPr="00A904C4">
        <w:rPr>
          <w:lang w:val="pt-BR"/>
        </w:rPr>
        <w:t xml:space="preserve"> de resgate de carteiras padrão e de stress.</w:t>
      </w:r>
    </w:p>
    <w:p w14:paraId="3AED2018" w14:textId="77777777" w:rsidR="00A904C4" w:rsidRPr="00A904C4" w:rsidRDefault="00A904C4" w:rsidP="00A904C4">
      <w:pPr>
        <w:spacing w:after="60"/>
        <w:jc w:val="both"/>
        <w:rPr>
          <w:lang w:val="pt-BR"/>
        </w:rPr>
      </w:pPr>
      <w:r w:rsidRPr="00A904C4">
        <w:rPr>
          <w:lang w:val="pt-BR"/>
        </w:rPr>
        <w:t>A Diretoria de Risco realiza a projeção de fluxo de caixa e elabora o Relatório de Liquidez (semanal) para cada portfólio.</w:t>
      </w:r>
    </w:p>
    <w:p w14:paraId="3AED2019" w14:textId="77777777" w:rsidR="00A904C4" w:rsidRPr="00A904C4" w:rsidRDefault="00A904C4" w:rsidP="00A904C4">
      <w:pPr>
        <w:spacing w:after="60"/>
        <w:jc w:val="both"/>
        <w:rPr>
          <w:bCs/>
          <w:color w:val="000000"/>
          <w:u w:val="single"/>
          <w:lang w:val="pt-BR" w:eastAsia="pt-BR"/>
        </w:rPr>
      </w:pPr>
      <w:bookmarkStart w:id="2" w:name="4"/>
      <w:bookmarkEnd w:id="2"/>
    </w:p>
    <w:p w14:paraId="3AED201A" w14:textId="77777777" w:rsidR="00A904C4" w:rsidRPr="003A2F53" w:rsidRDefault="00A904C4" w:rsidP="00A904C4">
      <w:pPr>
        <w:spacing w:after="60"/>
        <w:jc w:val="both"/>
        <w:rPr>
          <w:bCs/>
          <w:color w:val="000000"/>
          <w:u w:val="single"/>
          <w:lang w:eastAsia="pt-BR"/>
        </w:rPr>
      </w:pPr>
      <w:proofErr w:type="spellStart"/>
      <w:r>
        <w:rPr>
          <w:bCs/>
          <w:color w:val="000000"/>
          <w:u w:val="single"/>
          <w:lang w:eastAsia="pt-BR"/>
        </w:rPr>
        <w:t>Relatórios</w:t>
      </w:r>
      <w:proofErr w:type="spellEnd"/>
    </w:p>
    <w:p w14:paraId="3AED201B" w14:textId="77777777" w:rsidR="00A904C4" w:rsidRPr="00B02FF0" w:rsidRDefault="00A904C4" w:rsidP="00A904C4">
      <w:pPr>
        <w:pStyle w:val="PargrafodaLista"/>
        <w:numPr>
          <w:ilvl w:val="0"/>
          <w:numId w:val="10"/>
        </w:numPr>
        <w:spacing w:after="60"/>
        <w:jc w:val="both"/>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t>C</w:t>
      </w:r>
      <w:r w:rsidRPr="00D664B8">
        <w:rPr>
          <w:rFonts w:ascii="Times New Roman" w:hAnsi="Times New Roman" w:cs="Times New Roman"/>
          <w:sz w:val="24"/>
          <w:szCs w:val="24"/>
        </w:rPr>
        <w:t xml:space="preserve">ritérios para medir a </w:t>
      </w:r>
      <w:r w:rsidRPr="00B02FF0">
        <w:rPr>
          <w:rFonts w:ascii="Times New Roman" w:hAnsi="Times New Roman" w:cs="Times New Roman"/>
          <w:sz w:val="24"/>
          <w:szCs w:val="24"/>
        </w:rPr>
        <w:t xml:space="preserve">liquidez dos ativos (elaborado pelo Comitê </w:t>
      </w:r>
      <w:r w:rsidR="00B02FF0" w:rsidRPr="00B02FF0">
        <w:rPr>
          <w:rFonts w:ascii="Times New Roman" w:hAnsi="Times New Roman" w:cs="Times New Roman"/>
          <w:color w:val="000000"/>
          <w:lang w:eastAsia="pt-BR"/>
        </w:rPr>
        <w:t>de Investimentos)</w:t>
      </w:r>
    </w:p>
    <w:p w14:paraId="3AED201C" w14:textId="77777777" w:rsidR="00B02FF0" w:rsidRPr="00B02FF0" w:rsidRDefault="00A904C4" w:rsidP="00A904C4">
      <w:pPr>
        <w:pStyle w:val="PargrafodaLista"/>
        <w:numPr>
          <w:ilvl w:val="0"/>
          <w:numId w:val="10"/>
        </w:numPr>
        <w:spacing w:after="60"/>
        <w:jc w:val="both"/>
        <w:rPr>
          <w:rFonts w:ascii="Times New Roman" w:eastAsia="Times New Roman" w:hAnsi="Times New Roman" w:cs="Times New Roman"/>
          <w:bCs/>
          <w:color w:val="000000"/>
          <w:sz w:val="24"/>
          <w:szCs w:val="24"/>
          <w:lang w:eastAsia="pt-BR"/>
        </w:rPr>
      </w:pPr>
      <w:r w:rsidRPr="00B02FF0">
        <w:rPr>
          <w:rFonts w:ascii="Times New Roman" w:hAnsi="Times New Roman" w:cs="Times New Roman"/>
          <w:sz w:val="24"/>
          <w:szCs w:val="24"/>
        </w:rPr>
        <w:t xml:space="preserve">Cenários de resgate de carteiras padrão e de stress (elaborado pelo Comitê </w:t>
      </w:r>
      <w:r w:rsidR="00B02FF0" w:rsidRPr="00B02FF0">
        <w:rPr>
          <w:rFonts w:ascii="Times New Roman" w:hAnsi="Times New Roman" w:cs="Times New Roman"/>
          <w:color w:val="000000"/>
          <w:lang w:eastAsia="pt-BR"/>
        </w:rPr>
        <w:t>de Investimentos)</w:t>
      </w:r>
    </w:p>
    <w:p w14:paraId="3AED201D" w14:textId="77777777" w:rsidR="00A904C4" w:rsidRPr="00B02FF0" w:rsidRDefault="00A904C4" w:rsidP="00A904C4">
      <w:pPr>
        <w:pStyle w:val="PargrafodaLista"/>
        <w:numPr>
          <w:ilvl w:val="0"/>
          <w:numId w:val="10"/>
        </w:numPr>
        <w:spacing w:after="60"/>
        <w:jc w:val="both"/>
        <w:rPr>
          <w:rFonts w:ascii="Times New Roman" w:eastAsia="Times New Roman" w:hAnsi="Times New Roman" w:cs="Times New Roman"/>
          <w:bCs/>
          <w:color w:val="000000"/>
          <w:sz w:val="24"/>
          <w:szCs w:val="24"/>
          <w:lang w:eastAsia="pt-BR"/>
        </w:rPr>
      </w:pPr>
      <w:r w:rsidRPr="00B02FF0">
        <w:rPr>
          <w:rFonts w:ascii="Times New Roman" w:hAnsi="Times New Roman" w:cs="Times New Roman"/>
          <w:sz w:val="24"/>
          <w:szCs w:val="24"/>
        </w:rPr>
        <w:t>Relatório de Liquidez, semanal por portfólio (elaborado pela Diretoria de Risco).</w:t>
      </w:r>
    </w:p>
    <w:p w14:paraId="3AED201E" w14:textId="77777777" w:rsidR="00A904C4" w:rsidRDefault="00A904C4" w:rsidP="00A904C4">
      <w:pPr>
        <w:pStyle w:val="PargrafodaLista"/>
        <w:numPr>
          <w:ilvl w:val="0"/>
          <w:numId w:val="10"/>
        </w:numPr>
        <w:spacing w:after="60"/>
        <w:jc w:val="both"/>
        <w:rPr>
          <w:rFonts w:ascii="Times New Roman" w:eastAsia="Times New Roman" w:hAnsi="Times New Roman" w:cs="Times New Roman"/>
          <w:bCs/>
          <w:color w:val="000000"/>
          <w:sz w:val="24"/>
          <w:szCs w:val="24"/>
          <w:lang w:eastAsia="pt-BR"/>
        </w:rPr>
      </w:pPr>
      <w:r w:rsidRPr="00B02FF0">
        <w:rPr>
          <w:rFonts w:ascii="Times New Roman" w:eastAsia="Times New Roman" w:hAnsi="Times New Roman" w:cs="Times New Roman"/>
          <w:bCs/>
          <w:color w:val="000000"/>
          <w:sz w:val="24"/>
          <w:szCs w:val="24"/>
          <w:lang w:eastAsia="pt-BR"/>
        </w:rPr>
        <w:t>Relatório mensal de desenquadramentos</w:t>
      </w:r>
    </w:p>
    <w:p w14:paraId="3AED201F" w14:textId="77777777" w:rsidR="00AA156C" w:rsidRDefault="00AA156C" w:rsidP="00AA156C">
      <w:pPr>
        <w:pStyle w:val="PargrafodaLista"/>
        <w:spacing w:after="60"/>
        <w:jc w:val="both"/>
        <w:rPr>
          <w:rFonts w:ascii="Times New Roman" w:eastAsia="Times New Roman" w:hAnsi="Times New Roman" w:cs="Times New Roman"/>
          <w:bCs/>
          <w:color w:val="000000"/>
          <w:sz w:val="24"/>
          <w:szCs w:val="24"/>
          <w:lang w:eastAsia="pt-BR"/>
        </w:rPr>
      </w:pPr>
    </w:p>
    <w:p w14:paraId="3AED2020" w14:textId="77777777" w:rsidR="00A904C4" w:rsidRPr="00AA156C" w:rsidRDefault="00A904C4" w:rsidP="00AA156C">
      <w:pPr>
        <w:pStyle w:val="PargrafodaLista"/>
        <w:numPr>
          <w:ilvl w:val="0"/>
          <w:numId w:val="3"/>
        </w:numPr>
        <w:spacing w:after="60"/>
        <w:jc w:val="both"/>
        <w:rPr>
          <w:rFonts w:ascii="Times New Roman" w:eastAsia="Times New Roman" w:hAnsi="Times New Roman" w:cs="Times New Roman"/>
          <w:color w:val="000000"/>
          <w:sz w:val="24"/>
          <w:szCs w:val="24"/>
          <w:lang w:eastAsia="pt-BR"/>
        </w:rPr>
      </w:pPr>
      <w:r w:rsidRPr="00AA156C">
        <w:rPr>
          <w:rFonts w:ascii="Times New Roman" w:eastAsia="Times New Roman" w:hAnsi="Times New Roman" w:cs="Times New Roman"/>
          <w:b/>
          <w:bCs/>
          <w:color w:val="000000"/>
          <w:sz w:val="24"/>
          <w:szCs w:val="24"/>
          <w:lang w:eastAsia="pt-BR"/>
        </w:rPr>
        <w:t>Risco Operacional</w:t>
      </w:r>
    </w:p>
    <w:p w14:paraId="3AED2021" w14:textId="77777777" w:rsidR="00A904C4" w:rsidRDefault="00A904C4" w:rsidP="00A904C4">
      <w:pPr>
        <w:spacing w:after="60"/>
        <w:jc w:val="both"/>
        <w:rPr>
          <w:b/>
          <w:color w:val="000000"/>
          <w:u w:val="single"/>
          <w:lang w:eastAsia="pt-BR"/>
        </w:rPr>
      </w:pPr>
    </w:p>
    <w:p w14:paraId="3AED2022" w14:textId="77777777" w:rsidR="00A904C4" w:rsidRPr="001079F7" w:rsidRDefault="00A904C4" w:rsidP="00A904C4">
      <w:pPr>
        <w:spacing w:after="60"/>
        <w:jc w:val="both"/>
        <w:rPr>
          <w:color w:val="000000"/>
          <w:lang w:eastAsia="pt-BR"/>
        </w:rPr>
      </w:pPr>
      <w:proofErr w:type="spellStart"/>
      <w:r w:rsidRPr="001079F7">
        <w:rPr>
          <w:color w:val="000000"/>
          <w:u w:val="single"/>
          <w:lang w:eastAsia="pt-BR"/>
        </w:rPr>
        <w:t>Definição</w:t>
      </w:r>
      <w:proofErr w:type="spellEnd"/>
    </w:p>
    <w:p w14:paraId="3AED2023" w14:textId="77777777" w:rsidR="00A904C4" w:rsidRPr="00A904C4" w:rsidRDefault="00A904C4" w:rsidP="00A904C4">
      <w:pPr>
        <w:spacing w:after="60"/>
        <w:jc w:val="both"/>
        <w:rPr>
          <w:color w:val="000000"/>
          <w:lang w:val="pt-BR" w:eastAsia="pt-BR"/>
        </w:rPr>
      </w:pPr>
      <w:r w:rsidRPr="00A904C4">
        <w:rPr>
          <w:color w:val="000000"/>
          <w:lang w:val="pt-BR" w:eastAsia="pt-BR"/>
        </w:rPr>
        <w:t xml:space="preserve">Os riscos operacionais são relacionados à erros humanos (de execução de operação, de </w:t>
      </w:r>
      <w:proofErr w:type="spellStart"/>
      <w:r w:rsidRPr="00A904C4">
        <w:rPr>
          <w:color w:val="000000"/>
          <w:lang w:val="pt-BR" w:eastAsia="pt-BR"/>
        </w:rPr>
        <w:t>boletagem</w:t>
      </w:r>
      <w:proofErr w:type="spellEnd"/>
      <w:r w:rsidRPr="00A904C4">
        <w:rPr>
          <w:color w:val="000000"/>
          <w:lang w:val="pt-BR" w:eastAsia="pt-BR"/>
        </w:rPr>
        <w:t xml:space="preserve">, de construção de modelos, de checagem de </w:t>
      </w:r>
      <w:proofErr w:type="gramStart"/>
      <w:r w:rsidRPr="00A904C4">
        <w:rPr>
          <w:color w:val="000000"/>
          <w:lang w:val="pt-BR" w:eastAsia="pt-BR"/>
        </w:rPr>
        <w:t>relatórios, etc.</w:t>
      </w:r>
      <w:proofErr w:type="gramEnd"/>
      <w:r w:rsidRPr="00A904C4">
        <w:rPr>
          <w:color w:val="000000"/>
          <w:lang w:val="pt-BR" w:eastAsia="pt-BR"/>
        </w:rPr>
        <w:t>). O objetivo do controle do risco operacional é eliminar as falhas humanas que podem acarretar em perdas significativas para os portfólios.</w:t>
      </w:r>
    </w:p>
    <w:p w14:paraId="3AED2024" w14:textId="77777777" w:rsidR="00A904C4" w:rsidRPr="00A904C4" w:rsidRDefault="00A904C4" w:rsidP="00A904C4">
      <w:pPr>
        <w:spacing w:after="60"/>
        <w:jc w:val="both"/>
        <w:rPr>
          <w:color w:val="000000"/>
          <w:lang w:val="pt-BR" w:eastAsia="pt-BR"/>
        </w:rPr>
      </w:pPr>
    </w:p>
    <w:p w14:paraId="3AED2025" w14:textId="77777777" w:rsidR="00A904C4" w:rsidRPr="00A904C4" w:rsidRDefault="00A904C4" w:rsidP="00A904C4">
      <w:pPr>
        <w:spacing w:after="60"/>
        <w:jc w:val="both"/>
        <w:rPr>
          <w:color w:val="000000"/>
          <w:lang w:val="pt-BR" w:eastAsia="pt-BR"/>
        </w:rPr>
      </w:pPr>
      <w:r w:rsidRPr="00A904C4">
        <w:rPr>
          <w:color w:val="000000"/>
          <w:u w:val="single"/>
          <w:lang w:val="pt-BR" w:eastAsia="pt-BR"/>
        </w:rPr>
        <w:t>Metodologia</w:t>
      </w:r>
    </w:p>
    <w:p w14:paraId="3AED2026" w14:textId="77777777" w:rsidR="00A904C4" w:rsidRPr="00A904C4" w:rsidRDefault="00A904C4" w:rsidP="00A904C4">
      <w:pPr>
        <w:spacing w:after="60"/>
        <w:jc w:val="both"/>
        <w:rPr>
          <w:color w:val="000000"/>
          <w:lang w:val="pt-BR" w:eastAsia="pt-BR"/>
        </w:rPr>
      </w:pPr>
      <w:r w:rsidRPr="00A904C4">
        <w:rPr>
          <w:color w:val="000000"/>
          <w:lang w:val="pt-BR" w:eastAsia="pt-BR"/>
        </w:rPr>
        <w:t>Confirmação das operações realizadas logo após sua execução.</w:t>
      </w:r>
    </w:p>
    <w:p w14:paraId="3AED2027" w14:textId="77777777" w:rsidR="00A904C4" w:rsidRPr="00A904C4" w:rsidRDefault="00A904C4" w:rsidP="00A904C4">
      <w:pPr>
        <w:spacing w:after="60"/>
        <w:jc w:val="both"/>
        <w:rPr>
          <w:color w:val="000000"/>
          <w:lang w:val="pt-BR" w:eastAsia="pt-BR"/>
        </w:rPr>
      </w:pPr>
      <w:r w:rsidRPr="00A904C4">
        <w:rPr>
          <w:color w:val="000000"/>
          <w:lang w:val="pt-BR" w:eastAsia="pt-BR"/>
        </w:rPr>
        <w:t xml:space="preserve">Checagem das diferentes bases de dados para garantir sua integridade (e evitar erros de </w:t>
      </w:r>
      <w:proofErr w:type="spellStart"/>
      <w:r w:rsidRPr="00A904C4">
        <w:rPr>
          <w:color w:val="000000"/>
          <w:lang w:val="pt-BR" w:eastAsia="pt-BR"/>
        </w:rPr>
        <w:t>boletagem</w:t>
      </w:r>
      <w:proofErr w:type="spellEnd"/>
      <w:r w:rsidRPr="00A904C4">
        <w:rPr>
          <w:color w:val="000000"/>
          <w:lang w:val="pt-BR" w:eastAsia="pt-BR"/>
        </w:rPr>
        <w:t>).</w:t>
      </w:r>
    </w:p>
    <w:p w14:paraId="3AED2028" w14:textId="77777777" w:rsidR="00A904C4" w:rsidRPr="00A904C4" w:rsidRDefault="00A904C4" w:rsidP="00A904C4">
      <w:pPr>
        <w:spacing w:after="60"/>
        <w:jc w:val="both"/>
        <w:rPr>
          <w:color w:val="000000"/>
          <w:lang w:val="pt-BR" w:eastAsia="pt-BR"/>
        </w:rPr>
      </w:pPr>
      <w:r w:rsidRPr="00A904C4">
        <w:rPr>
          <w:color w:val="000000"/>
          <w:lang w:val="pt-BR" w:eastAsia="pt-BR"/>
        </w:rPr>
        <w:t>Teste periódico dos modelos para garantir que os mesmos estão funcionando devidamente.</w:t>
      </w:r>
    </w:p>
    <w:p w14:paraId="3AED2029" w14:textId="77777777" w:rsidR="00A904C4" w:rsidRPr="00A904C4" w:rsidRDefault="00A904C4" w:rsidP="00A904C4">
      <w:pPr>
        <w:spacing w:after="60"/>
        <w:jc w:val="both"/>
        <w:rPr>
          <w:color w:val="000000"/>
          <w:lang w:val="pt-BR" w:eastAsia="pt-BR"/>
        </w:rPr>
      </w:pPr>
      <w:r w:rsidRPr="00A904C4">
        <w:rPr>
          <w:color w:val="000000"/>
          <w:lang w:val="pt-BR" w:eastAsia="pt-BR"/>
        </w:rPr>
        <w:t xml:space="preserve">Elaboração de relatórios claros, simples e concisos para facilitar a interpretação. </w:t>
      </w:r>
    </w:p>
    <w:p w14:paraId="3AED202A" w14:textId="77777777" w:rsidR="00A904C4" w:rsidRPr="00A904C4" w:rsidRDefault="00A904C4" w:rsidP="00A904C4">
      <w:pPr>
        <w:spacing w:after="60"/>
        <w:jc w:val="both"/>
        <w:rPr>
          <w:color w:val="000000"/>
          <w:lang w:val="pt-BR" w:eastAsia="pt-BR"/>
        </w:rPr>
      </w:pPr>
    </w:p>
    <w:p w14:paraId="3AED202B" w14:textId="77777777" w:rsidR="00A904C4" w:rsidRPr="00A904C4" w:rsidRDefault="00A904C4" w:rsidP="00A904C4">
      <w:pPr>
        <w:spacing w:after="60"/>
        <w:jc w:val="both"/>
        <w:rPr>
          <w:color w:val="000000"/>
          <w:lang w:val="pt-BR" w:eastAsia="pt-BR"/>
        </w:rPr>
      </w:pPr>
      <w:r w:rsidRPr="00A904C4">
        <w:rPr>
          <w:color w:val="000000"/>
          <w:u w:val="single"/>
          <w:lang w:val="pt-BR" w:eastAsia="pt-BR"/>
        </w:rPr>
        <w:t>Processo</w:t>
      </w:r>
    </w:p>
    <w:p w14:paraId="3AED202C" w14:textId="77777777" w:rsidR="00A904C4" w:rsidRPr="00A904C4" w:rsidRDefault="00A904C4" w:rsidP="00A904C4">
      <w:pPr>
        <w:spacing w:after="60"/>
        <w:jc w:val="both"/>
        <w:rPr>
          <w:color w:val="000000"/>
          <w:lang w:val="pt-BR" w:eastAsia="pt-BR"/>
        </w:rPr>
      </w:pPr>
      <w:r w:rsidRPr="00A904C4">
        <w:rPr>
          <w:color w:val="000000"/>
          <w:lang w:val="pt-BR" w:eastAsia="pt-BR"/>
        </w:rPr>
        <w:t xml:space="preserve">O Gestor confirmação as operações e checa a </w:t>
      </w:r>
      <w:proofErr w:type="spellStart"/>
      <w:r w:rsidRPr="00A904C4">
        <w:rPr>
          <w:color w:val="000000"/>
          <w:lang w:val="pt-BR" w:eastAsia="pt-BR"/>
        </w:rPr>
        <w:t>boletagem</w:t>
      </w:r>
      <w:proofErr w:type="spellEnd"/>
      <w:r w:rsidRPr="00A904C4">
        <w:rPr>
          <w:color w:val="000000"/>
          <w:lang w:val="pt-BR" w:eastAsia="pt-BR"/>
        </w:rPr>
        <w:t xml:space="preserve"> nos vários sistemas.</w:t>
      </w:r>
    </w:p>
    <w:p w14:paraId="3AED202D" w14:textId="77777777" w:rsidR="00A904C4" w:rsidRPr="00A904C4" w:rsidRDefault="00A904C4" w:rsidP="00A904C4">
      <w:pPr>
        <w:spacing w:after="60"/>
        <w:jc w:val="both"/>
        <w:rPr>
          <w:color w:val="000000"/>
          <w:lang w:val="pt-BR" w:eastAsia="pt-BR"/>
        </w:rPr>
      </w:pPr>
      <w:r w:rsidRPr="00A904C4">
        <w:rPr>
          <w:color w:val="000000"/>
          <w:lang w:val="pt-BR" w:eastAsia="pt-BR"/>
        </w:rPr>
        <w:t>A Diretoria de Risco confere as bases dos vários sistemas semanalmente e sempre que houver operação (ou vencimento de operação) no portfólio.</w:t>
      </w:r>
    </w:p>
    <w:p w14:paraId="3AED202E" w14:textId="77777777" w:rsidR="00A904C4" w:rsidRDefault="00A904C4" w:rsidP="00A904C4">
      <w:pPr>
        <w:spacing w:after="60"/>
        <w:jc w:val="both"/>
        <w:rPr>
          <w:color w:val="000000"/>
          <w:lang w:val="pt-BR" w:eastAsia="pt-BR"/>
        </w:rPr>
      </w:pPr>
      <w:r w:rsidRPr="00A904C4">
        <w:rPr>
          <w:color w:val="000000"/>
          <w:lang w:val="pt-BR" w:eastAsia="pt-BR"/>
        </w:rPr>
        <w:t xml:space="preserve">A </w:t>
      </w:r>
      <w:r w:rsidR="00A130C9">
        <w:rPr>
          <w:color w:val="000000"/>
          <w:lang w:val="pt-BR" w:eastAsia="pt-BR"/>
        </w:rPr>
        <w:t>D</w:t>
      </w:r>
      <w:r w:rsidRPr="00A904C4">
        <w:rPr>
          <w:color w:val="000000"/>
          <w:lang w:val="pt-BR" w:eastAsia="pt-BR"/>
        </w:rPr>
        <w:t xml:space="preserve">iretoria de Risco realiza o teste de modelos </w:t>
      </w:r>
      <w:r w:rsidR="00B02FF0">
        <w:rPr>
          <w:color w:val="000000"/>
          <w:lang w:val="pt-BR" w:eastAsia="pt-BR"/>
        </w:rPr>
        <w:t>periodicamente</w:t>
      </w:r>
      <w:r w:rsidRPr="00A904C4">
        <w:rPr>
          <w:color w:val="000000"/>
          <w:lang w:val="pt-BR" w:eastAsia="pt-BR"/>
        </w:rPr>
        <w:t>.</w:t>
      </w:r>
    </w:p>
    <w:p w14:paraId="3AED202F" w14:textId="77777777" w:rsidR="0073611A" w:rsidRDefault="0073611A" w:rsidP="00A904C4">
      <w:pPr>
        <w:spacing w:after="60"/>
        <w:jc w:val="both"/>
        <w:rPr>
          <w:color w:val="000000"/>
          <w:lang w:val="pt-BR" w:eastAsia="pt-BR"/>
        </w:rPr>
      </w:pPr>
    </w:p>
    <w:p w14:paraId="3AED2030" w14:textId="77777777" w:rsidR="0073611A" w:rsidRDefault="0073611A" w:rsidP="00A904C4">
      <w:pPr>
        <w:spacing w:after="60"/>
        <w:jc w:val="both"/>
        <w:rPr>
          <w:color w:val="000000"/>
          <w:lang w:val="pt-BR" w:eastAsia="pt-BR"/>
        </w:rPr>
      </w:pPr>
    </w:p>
    <w:p w14:paraId="3AED2031" w14:textId="0BF3AEE3" w:rsidR="0073611A" w:rsidRDefault="0073611A" w:rsidP="0073611A">
      <w:pPr>
        <w:spacing w:line="245" w:lineRule="auto"/>
        <w:ind w:left="133" w:right="462"/>
        <w:jc w:val="center"/>
        <w:rPr>
          <w:w w:val="102"/>
          <w:sz w:val="22"/>
          <w:szCs w:val="22"/>
          <w:lang w:val="pt-BR"/>
        </w:rPr>
      </w:pPr>
      <w:r>
        <w:rPr>
          <w:w w:val="102"/>
          <w:sz w:val="22"/>
          <w:szCs w:val="22"/>
          <w:lang w:val="pt-BR"/>
        </w:rPr>
        <w:t>São Paulo,</w:t>
      </w:r>
      <w:r w:rsidR="00BB700A">
        <w:rPr>
          <w:w w:val="102"/>
          <w:sz w:val="22"/>
          <w:szCs w:val="22"/>
          <w:lang w:val="pt-BR"/>
        </w:rPr>
        <w:t xml:space="preserve"> </w:t>
      </w:r>
      <w:r w:rsidR="009971B5">
        <w:rPr>
          <w:w w:val="102"/>
          <w:sz w:val="22"/>
          <w:szCs w:val="22"/>
          <w:lang w:val="pt-BR"/>
        </w:rPr>
        <w:t>01 de junho de 2022</w:t>
      </w:r>
    </w:p>
    <w:p w14:paraId="3AED2032" w14:textId="77777777" w:rsidR="0073611A" w:rsidRDefault="0073611A" w:rsidP="0073611A">
      <w:pPr>
        <w:spacing w:line="245" w:lineRule="auto"/>
        <w:ind w:left="133" w:right="462"/>
        <w:rPr>
          <w:w w:val="102"/>
          <w:sz w:val="22"/>
          <w:szCs w:val="22"/>
          <w:lang w:val="pt-BR"/>
        </w:rPr>
      </w:pPr>
    </w:p>
    <w:p w14:paraId="3AED2033" w14:textId="77777777" w:rsidR="0073611A" w:rsidRDefault="0073611A" w:rsidP="0073611A">
      <w:pPr>
        <w:spacing w:line="245" w:lineRule="auto"/>
        <w:ind w:left="133" w:right="462"/>
        <w:jc w:val="center"/>
        <w:rPr>
          <w:w w:val="102"/>
          <w:sz w:val="22"/>
          <w:szCs w:val="22"/>
          <w:lang w:val="pt-BR"/>
        </w:rPr>
      </w:pPr>
    </w:p>
    <w:p w14:paraId="3AED2034" w14:textId="77777777" w:rsidR="0073611A" w:rsidRDefault="0073611A" w:rsidP="0073611A">
      <w:pPr>
        <w:spacing w:line="245" w:lineRule="auto"/>
        <w:ind w:left="133" w:right="462"/>
        <w:jc w:val="center"/>
        <w:rPr>
          <w:w w:val="102"/>
          <w:sz w:val="22"/>
          <w:szCs w:val="22"/>
          <w:lang w:val="pt-BR"/>
        </w:rPr>
      </w:pPr>
    </w:p>
    <w:p w14:paraId="3AED2035" w14:textId="77777777" w:rsidR="0073611A" w:rsidRPr="006C5A1A" w:rsidRDefault="0073611A" w:rsidP="0073611A">
      <w:pPr>
        <w:spacing w:line="245" w:lineRule="auto"/>
        <w:ind w:left="133" w:right="462"/>
        <w:jc w:val="center"/>
        <w:rPr>
          <w:sz w:val="22"/>
          <w:szCs w:val="22"/>
          <w:lang w:val="pt-BR"/>
        </w:rPr>
      </w:pPr>
      <w:r>
        <w:rPr>
          <w:w w:val="102"/>
          <w:sz w:val="22"/>
          <w:szCs w:val="22"/>
          <w:lang w:val="pt-BR"/>
        </w:rPr>
        <w:t>Diretor de Risco</w:t>
      </w:r>
    </w:p>
    <w:p w14:paraId="3AED2036" w14:textId="77777777" w:rsidR="0073611A" w:rsidRPr="00A904C4" w:rsidRDefault="0073611A" w:rsidP="00A904C4">
      <w:pPr>
        <w:spacing w:after="60"/>
        <w:jc w:val="both"/>
        <w:rPr>
          <w:color w:val="000000"/>
          <w:lang w:val="pt-BR" w:eastAsia="pt-BR"/>
        </w:rPr>
      </w:pPr>
    </w:p>
    <w:p w14:paraId="3AED2037" w14:textId="77777777" w:rsidR="00A904C4" w:rsidRPr="00A904C4" w:rsidRDefault="00A904C4" w:rsidP="00A904C4">
      <w:pPr>
        <w:spacing w:after="60"/>
        <w:jc w:val="both"/>
        <w:rPr>
          <w:color w:val="000000"/>
          <w:lang w:val="pt-BR" w:eastAsia="pt-BR"/>
        </w:rPr>
      </w:pPr>
    </w:p>
    <w:sectPr w:rsidR="00A904C4" w:rsidRPr="00A904C4" w:rsidSect="00AA156C">
      <w:headerReference w:type="default" r:id="rId8"/>
      <w:footerReference w:type="default" r:id="rId9"/>
      <w:type w:val="continuous"/>
      <w:pgSz w:w="11909" w:h="16834" w:code="9"/>
      <w:pgMar w:top="1701" w:right="1701" w:bottom="1418" w:left="1701" w:header="284" w:footer="28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203A" w14:textId="77777777" w:rsidR="00F55947" w:rsidRDefault="00F55947" w:rsidP="00E677E1">
      <w:r>
        <w:separator/>
      </w:r>
    </w:p>
  </w:endnote>
  <w:endnote w:type="continuationSeparator" w:id="0">
    <w:p w14:paraId="3AED203B" w14:textId="77777777" w:rsidR="00F55947" w:rsidRDefault="00F55947" w:rsidP="00E6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203D" w14:textId="77777777" w:rsidR="000062C3" w:rsidRPr="00BB700A" w:rsidRDefault="0024169D" w:rsidP="00BB700A">
    <w:pPr>
      <w:pStyle w:val="Rodap"/>
      <w:ind w:left="-567"/>
      <w:jc w:val="center"/>
      <w:rPr>
        <w:sz w:val="20"/>
        <w:szCs w:val="20"/>
        <w:lang w:val="pt-BR"/>
      </w:rPr>
    </w:pPr>
    <w:r w:rsidRPr="00BB700A">
      <w:rPr>
        <w:color w:val="7E7E7E"/>
        <w:sz w:val="20"/>
        <w:szCs w:val="20"/>
        <w:lang w:val="pt-BR"/>
      </w:rPr>
      <w:t xml:space="preserve">Rua Pedroso Alvarenga, 691, 10º andar, </w:t>
    </w:r>
    <w:proofErr w:type="spellStart"/>
    <w:r w:rsidRPr="00BB700A">
      <w:rPr>
        <w:color w:val="7E7E7E"/>
        <w:spacing w:val="2"/>
        <w:sz w:val="20"/>
        <w:szCs w:val="20"/>
        <w:lang w:val="pt-BR"/>
      </w:rPr>
      <w:t>c</w:t>
    </w:r>
    <w:r w:rsidRPr="00BB700A">
      <w:rPr>
        <w:color w:val="7E7E7E"/>
        <w:spacing w:val="-1"/>
        <w:sz w:val="20"/>
        <w:szCs w:val="20"/>
        <w:lang w:val="pt-BR"/>
      </w:rPr>
      <w:t>on</w:t>
    </w:r>
    <w:r w:rsidRPr="00BB700A">
      <w:rPr>
        <w:color w:val="7E7E7E"/>
        <w:sz w:val="20"/>
        <w:szCs w:val="20"/>
        <w:lang w:val="pt-BR"/>
      </w:rPr>
      <w:t>j</w:t>
    </w:r>
    <w:proofErr w:type="spellEnd"/>
    <w:r w:rsidRPr="00BB700A">
      <w:rPr>
        <w:color w:val="7E7E7E"/>
        <w:spacing w:val="1"/>
        <w:sz w:val="20"/>
        <w:szCs w:val="20"/>
        <w:lang w:val="pt-BR"/>
      </w:rPr>
      <w:t xml:space="preserve"> </w:t>
    </w:r>
    <w:r w:rsidRPr="00BB700A">
      <w:rPr>
        <w:color w:val="7E7E7E"/>
        <w:spacing w:val="-1"/>
        <w:sz w:val="20"/>
        <w:szCs w:val="20"/>
        <w:lang w:val="pt-BR"/>
      </w:rPr>
      <w:t>1</w:t>
    </w:r>
    <w:r w:rsidRPr="00BB700A">
      <w:rPr>
        <w:color w:val="7E7E7E"/>
        <w:spacing w:val="1"/>
        <w:sz w:val="20"/>
        <w:szCs w:val="20"/>
        <w:lang w:val="pt-BR"/>
      </w:rPr>
      <w:t>007</w:t>
    </w:r>
    <w:r w:rsidRPr="00BB700A">
      <w:rPr>
        <w:color w:val="7E7E7E"/>
        <w:sz w:val="20"/>
        <w:szCs w:val="20"/>
        <w:lang w:val="pt-BR"/>
      </w:rPr>
      <w:t>,</w:t>
    </w:r>
    <w:r w:rsidRPr="00BB700A">
      <w:rPr>
        <w:color w:val="7E7E7E"/>
        <w:spacing w:val="1"/>
        <w:sz w:val="20"/>
        <w:szCs w:val="20"/>
        <w:lang w:val="pt-BR"/>
      </w:rPr>
      <w:t xml:space="preserve"> </w:t>
    </w:r>
    <w:r w:rsidRPr="00BB700A">
      <w:rPr>
        <w:color w:val="7E7E7E"/>
        <w:spacing w:val="-3"/>
        <w:sz w:val="20"/>
        <w:szCs w:val="20"/>
        <w:lang w:val="pt-BR"/>
      </w:rPr>
      <w:t>S</w:t>
    </w:r>
    <w:r w:rsidRPr="00BB700A">
      <w:rPr>
        <w:color w:val="7E7E7E"/>
        <w:sz w:val="20"/>
        <w:szCs w:val="20"/>
        <w:lang w:val="pt-BR"/>
      </w:rPr>
      <w:t>ão</w:t>
    </w:r>
    <w:r w:rsidRPr="00BB700A">
      <w:rPr>
        <w:color w:val="7E7E7E"/>
        <w:spacing w:val="1"/>
        <w:sz w:val="20"/>
        <w:szCs w:val="20"/>
        <w:lang w:val="pt-BR"/>
      </w:rPr>
      <w:t xml:space="preserve"> </w:t>
    </w:r>
    <w:r w:rsidRPr="00BB700A">
      <w:rPr>
        <w:color w:val="7E7E7E"/>
        <w:sz w:val="20"/>
        <w:szCs w:val="20"/>
        <w:lang w:val="pt-BR"/>
      </w:rPr>
      <w:t>P</w:t>
    </w:r>
    <w:r w:rsidRPr="00BB700A">
      <w:rPr>
        <w:color w:val="7E7E7E"/>
        <w:spacing w:val="-2"/>
        <w:sz w:val="20"/>
        <w:szCs w:val="20"/>
        <w:lang w:val="pt-BR"/>
      </w:rPr>
      <w:t>a</w:t>
    </w:r>
    <w:r w:rsidRPr="00BB700A">
      <w:rPr>
        <w:color w:val="7E7E7E"/>
        <w:spacing w:val="1"/>
        <w:sz w:val="20"/>
        <w:szCs w:val="20"/>
        <w:lang w:val="pt-BR"/>
      </w:rPr>
      <w:t>u</w:t>
    </w:r>
    <w:r w:rsidRPr="00BB700A">
      <w:rPr>
        <w:color w:val="7E7E7E"/>
        <w:spacing w:val="-1"/>
        <w:sz w:val="20"/>
        <w:szCs w:val="20"/>
        <w:lang w:val="pt-BR"/>
      </w:rPr>
      <w:t>lo</w:t>
    </w:r>
    <w:r w:rsidRPr="00BB700A">
      <w:rPr>
        <w:color w:val="7E7E7E"/>
        <w:sz w:val="20"/>
        <w:szCs w:val="20"/>
        <w:lang w:val="pt-BR"/>
      </w:rPr>
      <w:t>,</w:t>
    </w:r>
    <w:r w:rsidRPr="00BB700A">
      <w:rPr>
        <w:color w:val="7E7E7E"/>
        <w:spacing w:val="2"/>
        <w:sz w:val="20"/>
        <w:szCs w:val="20"/>
        <w:lang w:val="pt-BR"/>
      </w:rPr>
      <w:t xml:space="preserve"> </w:t>
    </w:r>
    <w:r w:rsidRPr="00BB700A">
      <w:rPr>
        <w:color w:val="7E7E7E"/>
        <w:sz w:val="20"/>
        <w:szCs w:val="20"/>
        <w:lang w:val="pt-BR"/>
      </w:rPr>
      <w:t>SP,</w:t>
    </w:r>
    <w:r w:rsidRPr="00BB700A">
      <w:rPr>
        <w:color w:val="7E7E7E"/>
        <w:spacing w:val="-1"/>
        <w:sz w:val="20"/>
        <w:szCs w:val="20"/>
        <w:lang w:val="pt-BR"/>
      </w:rPr>
      <w:t xml:space="preserve"> </w:t>
    </w:r>
    <w:r w:rsidRPr="00BB700A">
      <w:rPr>
        <w:color w:val="7E7E7E"/>
        <w:spacing w:val="1"/>
        <w:sz w:val="20"/>
        <w:szCs w:val="20"/>
        <w:lang w:val="pt-BR"/>
      </w:rPr>
      <w:t>04531</w:t>
    </w:r>
    <w:r w:rsidRPr="00BB700A">
      <w:rPr>
        <w:color w:val="7E7E7E"/>
        <w:spacing w:val="-2"/>
        <w:sz w:val="20"/>
        <w:szCs w:val="20"/>
        <w:lang w:val="pt-BR"/>
      </w:rPr>
      <w:t>-</w:t>
    </w:r>
    <w:r w:rsidRPr="00BB700A">
      <w:rPr>
        <w:color w:val="7E7E7E"/>
        <w:spacing w:val="1"/>
        <w:sz w:val="20"/>
        <w:szCs w:val="20"/>
        <w:lang w:val="pt-BR"/>
      </w:rPr>
      <w:t>011</w:t>
    </w:r>
    <w:r w:rsidRPr="00BB700A">
      <w:rPr>
        <w:color w:val="7E7E7E"/>
        <w:sz w:val="20"/>
        <w:szCs w:val="20"/>
        <w:lang w:val="pt-BR"/>
      </w:rPr>
      <w:t>,</w:t>
    </w:r>
    <w:r w:rsidRPr="00BB700A">
      <w:rPr>
        <w:color w:val="7E7E7E"/>
        <w:spacing w:val="-1"/>
        <w:sz w:val="20"/>
        <w:szCs w:val="20"/>
        <w:lang w:val="pt-BR"/>
      </w:rPr>
      <w:t xml:space="preserve"> </w:t>
    </w:r>
    <w:r w:rsidRPr="00BB700A">
      <w:rPr>
        <w:color w:val="7E7E7E"/>
        <w:spacing w:val="2"/>
        <w:sz w:val="20"/>
        <w:szCs w:val="20"/>
        <w:lang w:val="pt-BR"/>
      </w:rPr>
      <w:t>B</w:t>
    </w:r>
    <w:r w:rsidRPr="00BB700A">
      <w:rPr>
        <w:color w:val="7E7E7E"/>
        <w:spacing w:val="-2"/>
        <w:sz w:val="20"/>
        <w:szCs w:val="20"/>
        <w:lang w:val="pt-BR"/>
      </w:rPr>
      <w:t>r</w:t>
    </w:r>
    <w:r w:rsidRPr="00BB700A">
      <w:rPr>
        <w:color w:val="7E7E7E"/>
        <w:sz w:val="20"/>
        <w:szCs w:val="20"/>
        <w:lang w:val="pt-BR"/>
      </w:rPr>
      <w:t>a</w:t>
    </w:r>
    <w:r w:rsidRPr="00BB700A">
      <w:rPr>
        <w:color w:val="7E7E7E"/>
        <w:spacing w:val="-1"/>
        <w:sz w:val="20"/>
        <w:szCs w:val="20"/>
        <w:lang w:val="pt-BR"/>
      </w:rPr>
      <w:t>s</w:t>
    </w:r>
    <w:r w:rsidRPr="00BB700A">
      <w:rPr>
        <w:color w:val="7E7E7E"/>
        <w:spacing w:val="1"/>
        <w:sz w:val="20"/>
        <w:szCs w:val="20"/>
        <w:lang w:val="pt-BR"/>
      </w:rPr>
      <w:t>i</w:t>
    </w:r>
    <w:r w:rsidRPr="00BB700A">
      <w:rPr>
        <w:color w:val="7E7E7E"/>
        <w:spacing w:val="-1"/>
        <w:sz w:val="20"/>
        <w:szCs w:val="20"/>
        <w:lang w:val="pt-BR"/>
      </w:rPr>
      <w:t>l</w:t>
    </w:r>
    <w:r w:rsidRPr="00BB700A">
      <w:rPr>
        <w:color w:val="7E7E7E"/>
        <w:sz w:val="20"/>
        <w:szCs w:val="20"/>
        <w:lang w:val="pt-BR"/>
      </w:rPr>
      <w:t>,</w:t>
    </w:r>
    <w:r w:rsidRPr="00BB700A">
      <w:rPr>
        <w:color w:val="7E7E7E"/>
        <w:spacing w:val="1"/>
        <w:sz w:val="20"/>
        <w:szCs w:val="20"/>
        <w:lang w:val="pt-BR"/>
      </w:rPr>
      <w:t xml:space="preserve"> </w:t>
    </w:r>
    <w:proofErr w:type="spellStart"/>
    <w:r w:rsidRPr="00BB700A">
      <w:rPr>
        <w:color w:val="7E7E7E"/>
        <w:spacing w:val="-1"/>
        <w:sz w:val="20"/>
        <w:szCs w:val="20"/>
        <w:lang w:val="pt-BR"/>
      </w:rPr>
      <w:t>t</w:t>
    </w:r>
    <w:r w:rsidRPr="00BB700A">
      <w:rPr>
        <w:color w:val="7E7E7E"/>
        <w:sz w:val="20"/>
        <w:szCs w:val="20"/>
        <w:lang w:val="pt-BR"/>
      </w:rPr>
      <w:t>e</w:t>
    </w:r>
    <w:r w:rsidRPr="00BB700A">
      <w:rPr>
        <w:color w:val="7E7E7E"/>
        <w:spacing w:val="-1"/>
        <w:sz w:val="20"/>
        <w:szCs w:val="20"/>
        <w:lang w:val="pt-BR"/>
      </w:rPr>
      <w:t>l</w:t>
    </w:r>
    <w:proofErr w:type="spellEnd"/>
    <w:r w:rsidRPr="00BB700A">
      <w:rPr>
        <w:color w:val="7E7E7E"/>
        <w:sz w:val="20"/>
        <w:szCs w:val="20"/>
        <w:lang w:val="pt-BR"/>
      </w:rPr>
      <w:t>:</w:t>
    </w:r>
    <w:r w:rsidRPr="00BB700A">
      <w:rPr>
        <w:color w:val="7E7E7E"/>
        <w:spacing w:val="2"/>
        <w:sz w:val="20"/>
        <w:szCs w:val="20"/>
        <w:lang w:val="pt-BR"/>
      </w:rPr>
      <w:t xml:space="preserve"> </w:t>
    </w:r>
    <w:r w:rsidRPr="00BB700A">
      <w:rPr>
        <w:color w:val="7E7E7E"/>
        <w:spacing w:val="1"/>
        <w:sz w:val="20"/>
        <w:szCs w:val="20"/>
        <w:lang w:val="pt-BR"/>
      </w:rPr>
      <w:t>+5</w:t>
    </w:r>
    <w:r w:rsidRPr="00BB700A">
      <w:rPr>
        <w:color w:val="7E7E7E"/>
        <w:sz w:val="20"/>
        <w:szCs w:val="20"/>
        <w:lang w:val="pt-BR"/>
      </w:rPr>
      <w:t>5</w:t>
    </w:r>
    <w:r w:rsidRPr="00BB700A">
      <w:rPr>
        <w:color w:val="7E7E7E"/>
        <w:spacing w:val="1"/>
        <w:sz w:val="20"/>
        <w:szCs w:val="20"/>
        <w:lang w:val="pt-BR"/>
      </w:rPr>
      <w:t xml:space="preserve"> </w:t>
    </w:r>
    <w:r w:rsidRPr="00BB700A">
      <w:rPr>
        <w:color w:val="7E7E7E"/>
        <w:spacing w:val="-1"/>
        <w:sz w:val="20"/>
        <w:szCs w:val="20"/>
        <w:lang w:val="pt-BR"/>
      </w:rPr>
      <w:t>1</w:t>
    </w:r>
    <w:r w:rsidRPr="00BB700A">
      <w:rPr>
        <w:color w:val="7E7E7E"/>
        <w:sz w:val="20"/>
        <w:szCs w:val="20"/>
        <w:lang w:val="pt-BR"/>
      </w:rPr>
      <w:t xml:space="preserve">1 </w:t>
    </w:r>
    <w:r w:rsidRPr="00BB700A">
      <w:rPr>
        <w:color w:val="7E7E7E"/>
        <w:spacing w:val="-1"/>
        <w:sz w:val="20"/>
        <w:szCs w:val="20"/>
        <w:lang w:val="pt-BR"/>
      </w:rPr>
      <w:t>3</w:t>
    </w:r>
    <w:r w:rsidRPr="00BB700A">
      <w:rPr>
        <w:color w:val="7E7E7E"/>
        <w:spacing w:val="1"/>
        <w:sz w:val="20"/>
        <w:szCs w:val="20"/>
        <w:lang w:val="pt-BR"/>
      </w:rPr>
      <w:t>0</w:t>
    </w:r>
    <w:r w:rsidRPr="00BB700A">
      <w:rPr>
        <w:color w:val="7E7E7E"/>
        <w:spacing w:val="-1"/>
        <w:sz w:val="20"/>
        <w:szCs w:val="20"/>
        <w:lang w:val="pt-BR"/>
      </w:rPr>
      <w:t>7</w:t>
    </w:r>
    <w:r w:rsidRPr="00BB700A">
      <w:rPr>
        <w:color w:val="7E7E7E"/>
        <w:spacing w:val="1"/>
        <w:sz w:val="20"/>
        <w:szCs w:val="20"/>
        <w:lang w:val="pt-BR"/>
      </w:rPr>
      <w:t>8</w:t>
    </w:r>
    <w:r w:rsidRPr="00BB700A">
      <w:rPr>
        <w:color w:val="7E7E7E"/>
        <w:spacing w:val="-2"/>
        <w:sz w:val="20"/>
        <w:szCs w:val="20"/>
        <w:lang w:val="pt-BR"/>
      </w:rPr>
      <w:t>-</w:t>
    </w:r>
    <w:r w:rsidRPr="00BB700A">
      <w:rPr>
        <w:color w:val="7E7E7E"/>
        <w:spacing w:val="1"/>
        <w:sz w:val="20"/>
        <w:szCs w:val="20"/>
        <w:lang w:val="pt-BR"/>
      </w:rPr>
      <w:t>3</w:t>
    </w:r>
    <w:r w:rsidRPr="00BB700A">
      <w:rPr>
        <w:color w:val="7E7E7E"/>
        <w:spacing w:val="-1"/>
        <w:sz w:val="20"/>
        <w:szCs w:val="20"/>
        <w:lang w:val="pt-BR"/>
      </w:rPr>
      <w:t>76</w:t>
    </w:r>
    <w:r w:rsidRPr="00BB700A">
      <w:rPr>
        <w:color w:val="7E7E7E"/>
        <w:spacing w:val="1"/>
        <w:sz w:val="20"/>
        <w:szCs w:val="20"/>
        <w:lang w:val="pt-B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2038" w14:textId="77777777" w:rsidR="00F55947" w:rsidRDefault="00F55947" w:rsidP="00E677E1">
      <w:r>
        <w:separator/>
      </w:r>
    </w:p>
  </w:footnote>
  <w:footnote w:type="continuationSeparator" w:id="0">
    <w:p w14:paraId="3AED2039" w14:textId="77777777" w:rsidR="00F55947" w:rsidRDefault="00F55947" w:rsidP="00E67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203C" w14:textId="77777777" w:rsidR="00385E09" w:rsidRPr="001775F6" w:rsidRDefault="001775F6" w:rsidP="001775F6">
    <w:pPr>
      <w:pStyle w:val="Cabealho"/>
      <w:ind w:left="-567"/>
    </w:pPr>
    <w:r>
      <w:rPr>
        <w:noProof/>
        <w:lang w:val="pt-BR" w:eastAsia="pt-BR"/>
      </w:rPr>
      <w:drawing>
        <wp:inline distT="0" distB="0" distL="0" distR="0" wp14:anchorId="3AED203E" wp14:editId="3AED203F">
          <wp:extent cx="5941695" cy="808190"/>
          <wp:effectExtent l="0" t="0" r="1905" b="0"/>
          <wp:docPr id="1" name="Imagem 1" descr="papel carta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carta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1695" cy="808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519"/>
    <w:multiLevelType w:val="hybridMultilevel"/>
    <w:tmpl w:val="117C3E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155B33"/>
    <w:multiLevelType w:val="hybridMultilevel"/>
    <w:tmpl w:val="0C8C9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2E595F"/>
    <w:multiLevelType w:val="hybridMultilevel"/>
    <w:tmpl w:val="5B3461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5247C6"/>
    <w:multiLevelType w:val="hybridMultilevel"/>
    <w:tmpl w:val="821CED40"/>
    <w:lvl w:ilvl="0" w:tplc="2EA84A72">
      <w:start w:val="1"/>
      <w:numFmt w:val="upperRoman"/>
      <w:lvlText w:val="%1)"/>
      <w:lvlJc w:val="left"/>
      <w:pPr>
        <w:ind w:left="1080" w:hanging="720"/>
      </w:pPr>
      <w:rPr>
        <w:rFonts w:hint="default"/>
        <w:b w:val="0"/>
        <w:i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88108A"/>
    <w:multiLevelType w:val="hybridMultilevel"/>
    <w:tmpl w:val="954AD838"/>
    <w:lvl w:ilvl="0" w:tplc="44D0757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921916"/>
    <w:multiLevelType w:val="hybridMultilevel"/>
    <w:tmpl w:val="C046DCFE"/>
    <w:lvl w:ilvl="0" w:tplc="3C1C79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17925CC"/>
    <w:multiLevelType w:val="hybridMultilevel"/>
    <w:tmpl w:val="8B2EC8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0834B53"/>
    <w:multiLevelType w:val="hybridMultilevel"/>
    <w:tmpl w:val="F312A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3063236"/>
    <w:multiLevelType w:val="hybridMultilevel"/>
    <w:tmpl w:val="F3E2C8FC"/>
    <w:lvl w:ilvl="0" w:tplc="42787E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CC43AAA"/>
    <w:multiLevelType w:val="hybridMultilevel"/>
    <w:tmpl w:val="3CE8EC06"/>
    <w:lvl w:ilvl="0" w:tplc="24ECD6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86070931">
    <w:abstractNumId w:val="5"/>
  </w:num>
  <w:num w:numId="2" w16cid:durableId="849026836">
    <w:abstractNumId w:val="2"/>
  </w:num>
  <w:num w:numId="3" w16cid:durableId="2122600372">
    <w:abstractNumId w:val="4"/>
  </w:num>
  <w:num w:numId="4" w16cid:durableId="612178587">
    <w:abstractNumId w:val="1"/>
  </w:num>
  <w:num w:numId="5" w16cid:durableId="1586187215">
    <w:abstractNumId w:val="0"/>
  </w:num>
  <w:num w:numId="6" w16cid:durableId="1353607357">
    <w:abstractNumId w:val="6"/>
  </w:num>
  <w:num w:numId="7" w16cid:durableId="2122996004">
    <w:abstractNumId w:val="9"/>
  </w:num>
  <w:num w:numId="8" w16cid:durableId="1082949484">
    <w:abstractNumId w:val="8"/>
  </w:num>
  <w:num w:numId="9" w16cid:durableId="1327518605">
    <w:abstractNumId w:val="3"/>
  </w:num>
  <w:num w:numId="10" w16cid:durableId="1888102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43"/>
    <w:rsid w:val="000062C3"/>
    <w:rsid w:val="00010B3D"/>
    <w:rsid w:val="000305D6"/>
    <w:rsid w:val="0003120F"/>
    <w:rsid w:val="00051C77"/>
    <w:rsid w:val="0006237A"/>
    <w:rsid w:val="000A461F"/>
    <w:rsid w:val="000B7474"/>
    <w:rsid w:val="000D4017"/>
    <w:rsid w:val="0010452A"/>
    <w:rsid w:val="00170060"/>
    <w:rsid w:val="001775F6"/>
    <w:rsid w:val="00186B7F"/>
    <w:rsid w:val="00197B09"/>
    <w:rsid w:val="001B352D"/>
    <w:rsid w:val="001C24B1"/>
    <w:rsid w:val="001C7A3F"/>
    <w:rsid w:val="001F5F43"/>
    <w:rsid w:val="00202CAB"/>
    <w:rsid w:val="00205ED5"/>
    <w:rsid w:val="002328C4"/>
    <w:rsid w:val="0024169D"/>
    <w:rsid w:val="00264B3F"/>
    <w:rsid w:val="00270BFE"/>
    <w:rsid w:val="002A0631"/>
    <w:rsid w:val="002D7566"/>
    <w:rsid w:val="00371CE0"/>
    <w:rsid w:val="00380D33"/>
    <w:rsid w:val="00385A70"/>
    <w:rsid w:val="00385E09"/>
    <w:rsid w:val="00386611"/>
    <w:rsid w:val="00394681"/>
    <w:rsid w:val="003B203C"/>
    <w:rsid w:val="003B7A87"/>
    <w:rsid w:val="003C0549"/>
    <w:rsid w:val="003C4412"/>
    <w:rsid w:val="003F0154"/>
    <w:rsid w:val="0041354D"/>
    <w:rsid w:val="00433FF4"/>
    <w:rsid w:val="004B03B9"/>
    <w:rsid w:val="004B4CD6"/>
    <w:rsid w:val="004C1765"/>
    <w:rsid w:val="004D79C8"/>
    <w:rsid w:val="00520743"/>
    <w:rsid w:val="0054317A"/>
    <w:rsid w:val="0056125B"/>
    <w:rsid w:val="005770FD"/>
    <w:rsid w:val="005D7A82"/>
    <w:rsid w:val="005F10F2"/>
    <w:rsid w:val="006336BD"/>
    <w:rsid w:val="00635AB6"/>
    <w:rsid w:val="00670C6C"/>
    <w:rsid w:val="006A77C4"/>
    <w:rsid w:val="006F7F17"/>
    <w:rsid w:val="00706864"/>
    <w:rsid w:val="0073611A"/>
    <w:rsid w:val="00740365"/>
    <w:rsid w:val="00741498"/>
    <w:rsid w:val="00770D19"/>
    <w:rsid w:val="007712BA"/>
    <w:rsid w:val="00780C70"/>
    <w:rsid w:val="007D4248"/>
    <w:rsid w:val="00800A70"/>
    <w:rsid w:val="008048BA"/>
    <w:rsid w:val="00831765"/>
    <w:rsid w:val="0084431B"/>
    <w:rsid w:val="008576BB"/>
    <w:rsid w:val="008D48BF"/>
    <w:rsid w:val="008E6CB4"/>
    <w:rsid w:val="0092772F"/>
    <w:rsid w:val="009971B5"/>
    <w:rsid w:val="009E4067"/>
    <w:rsid w:val="00A034D8"/>
    <w:rsid w:val="00A130C9"/>
    <w:rsid w:val="00A24982"/>
    <w:rsid w:val="00A44C56"/>
    <w:rsid w:val="00A904C4"/>
    <w:rsid w:val="00AA156C"/>
    <w:rsid w:val="00AA5761"/>
    <w:rsid w:val="00AA5B25"/>
    <w:rsid w:val="00AE6EA6"/>
    <w:rsid w:val="00B01271"/>
    <w:rsid w:val="00B02FF0"/>
    <w:rsid w:val="00B07288"/>
    <w:rsid w:val="00B25B7C"/>
    <w:rsid w:val="00B40988"/>
    <w:rsid w:val="00BA4023"/>
    <w:rsid w:val="00BB700A"/>
    <w:rsid w:val="00BD250A"/>
    <w:rsid w:val="00BF731D"/>
    <w:rsid w:val="00C2457C"/>
    <w:rsid w:val="00C53B23"/>
    <w:rsid w:val="00C54247"/>
    <w:rsid w:val="00CE47AF"/>
    <w:rsid w:val="00D07783"/>
    <w:rsid w:val="00D15131"/>
    <w:rsid w:val="00D51FBB"/>
    <w:rsid w:val="00D671DF"/>
    <w:rsid w:val="00DA08F6"/>
    <w:rsid w:val="00DB4052"/>
    <w:rsid w:val="00DC1477"/>
    <w:rsid w:val="00DC3B44"/>
    <w:rsid w:val="00DF1EE4"/>
    <w:rsid w:val="00E002C6"/>
    <w:rsid w:val="00E45590"/>
    <w:rsid w:val="00E47FB6"/>
    <w:rsid w:val="00E63D77"/>
    <w:rsid w:val="00E6447F"/>
    <w:rsid w:val="00E677E1"/>
    <w:rsid w:val="00EA350A"/>
    <w:rsid w:val="00EE72F2"/>
    <w:rsid w:val="00F14431"/>
    <w:rsid w:val="00F21E81"/>
    <w:rsid w:val="00F44CF2"/>
    <w:rsid w:val="00F55947"/>
    <w:rsid w:val="00F8726A"/>
    <w:rsid w:val="00F9664B"/>
    <w:rsid w:val="00FA484E"/>
    <w:rsid w:val="00FB0BC8"/>
    <w:rsid w:val="00FB615D"/>
    <w:rsid w:val="00FD3D88"/>
    <w:rsid w:val="00FE3E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ED1F74"/>
  <w15:docId w15:val="{58969268-AFCC-4731-9B67-D4620C77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FB6"/>
    <w:rPr>
      <w:sz w:val="24"/>
      <w:szCs w:val="24"/>
      <w:lang w:val="en-US" w:eastAsia="en-US"/>
    </w:rPr>
  </w:style>
  <w:style w:type="paragraph" w:styleId="Ttulo1">
    <w:name w:val="heading 1"/>
    <w:basedOn w:val="Normal"/>
    <w:next w:val="Normal"/>
    <w:qFormat/>
    <w:rsid w:val="00520743"/>
    <w:pPr>
      <w:keepNext/>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677E1"/>
    <w:pPr>
      <w:tabs>
        <w:tab w:val="center" w:pos="4252"/>
        <w:tab w:val="right" w:pos="8504"/>
      </w:tabs>
    </w:pPr>
  </w:style>
  <w:style w:type="character" w:customStyle="1" w:styleId="CabealhoChar">
    <w:name w:val="Cabeçalho Char"/>
    <w:basedOn w:val="Fontepargpadro"/>
    <w:link w:val="Cabealho"/>
    <w:rsid w:val="00E677E1"/>
    <w:rPr>
      <w:sz w:val="24"/>
      <w:szCs w:val="24"/>
      <w:lang w:val="en-US" w:eastAsia="en-US"/>
    </w:rPr>
  </w:style>
  <w:style w:type="paragraph" w:styleId="Rodap">
    <w:name w:val="footer"/>
    <w:basedOn w:val="Normal"/>
    <w:link w:val="RodapChar"/>
    <w:rsid w:val="00E677E1"/>
    <w:pPr>
      <w:tabs>
        <w:tab w:val="center" w:pos="4252"/>
        <w:tab w:val="right" w:pos="8504"/>
      </w:tabs>
    </w:pPr>
  </w:style>
  <w:style w:type="character" w:customStyle="1" w:styleId="RodapChar">
    <w:name w:val="Rodapé Char"/>
    <w:basedOn w:val="Fontepargpadro"/>
    <w:link w:val="Rodap"/>
    <w:rsid w:val="00E677E1"/>
    <w:rPr>
      <w:sz w:val="24"/>
      <w:szCs w:val="24"/>
      <w:lang w:val="en-US" w:eastAsia="en-US"/>
    </w:rPr>
  </w:style>
  <w:style w:type="paragraph" w:customStyle="1" w:styleId="Default">
    <w:name w:val="Default"/>
    <w:rsid w:val="00270BFE"/>
    <w:pPr>
      <w:autoSpaceDE w:val="0"/>
      <w:autoSpaceDN w:val="0"/>
      <w:adjustRightInd w:val="0"/>
    </w:pPr>
    <w:rPr>
      <w:rFonts w:ascii="Verdana" w:eastAsiaTheme="minorHAnsi" w:hAnsi="Verdana" w:cs="Verdana"/>
      <w:color w:val="000000"/>
      <w:sz w:val="24"/>
      <w:szCs w:val="24"/>
      <w:lang w:eastAsia="en-US"/>
    </w:rPr>
  </w:style>
  <w:style w:type="paragraph" w:styleId="Textodebalo">
    <w:name w:val="Balloon Text"/>
    <w:basedOn w:val="Normal"/>
    <w:link w:val="TextodebaloChar"/>
    <w:rsid w:val="004D79C8"/>
    <w:rPr>
      <w:rFonts w:ascii="Tahoma" w:hAnsi="Tahoma" w:cs="Tahoma"/>
      <w:sz w:val="16"/>
      <w:szCs w:val="16"/>
    </w:rPr>
  </w:style>
  <w:style w:type="character" w:customStyle="1" w:styleId="TextodebaloChar">
    <w:name w:val="Texto de balão Char"/>
    <w:basedOn w:val="Fontepargpadro"/>
    <w:link w:val="Textodebalo"/>
    <w:rsid w:val="004D79C8"/>
    <w:rPr>
      <w:rFonts w:ascii="Tahoma" w:hAnsi="Tahoma" w:cs="Tahoma"/>
      <w:sz w:val="16"/>
      <w:szCs w:val="16"/>
      <w:lang w:val="en-US" w:eastAsia="en-US"/>
    </w:rPr>
  </w:style>
  <w:style w:type="character" w:styleId="Hyperlink">
    <w:name w:val="Hyperlink"/>
    <w:basedOn w:val="Fontepargpadro"/>
    <w:rsid w:val="00B07288"/>
    <w:rPr>
      <w:color w:val="0000FF"/>
      <w:u w:val="single"/>
    </w:rPr>
  </w:style>
  <w:style w:type="paragraph" w:styleId="SemEspaamento">
    <w:name w:val="No Spacing"/>
    <w:uiPriority w:val="1"/>
    <w:qFormat/>
    <w:rsid w:val="00A904C4"/>
    <w:rPr>
      <w:rFonts w:asciiTheme="minorHAnsi" w:eastAsiaTheme="minorHAnsi" w:hAnsiTheme="minorHAnsi" w:cstheme="minorBidi"/>
      <w:sz w:val="22"/>
      <w:szCs w:val="22"/>
      <w:lang w:eastAsia="en-US"/>
    </w:rPr>
  </w:style>
  <w:style w:type="paragraph" w:styleId="PargrafodaLista">
    <w:name w:val="List Paragraph"/>
    <w:basedOn w:val="Normal"/>
    <w:uiPriority w:val="34"/>
    <w:qFormat/>
    <w:rsid w:val="00A904C4"/>
    <w:pPr>
      <w:spacing w:after="200" w:line="276" w:lineRule="auto"/>
      <w:ind w:left="720"/>
      <w:contextualSpacing/>
    </w:pPr>
    <w:rPr>
      <w:rFonts w:asciiTheme="minorHAnsi" w:eastAsiaTheme="minorHAnsi" w:hAnsiTheme="minorHAnsi" w:cstheme="minorBidi"/>
      <w:sz w:val="22"/>
      <w:szCs w:val="22"/>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7299">
      <w:bodyDiv w:val="1"/>
      <w:marLeft w:val="0"/>
      <w:marRight w:val="0"/>
      <w:marTop w:val="0"/>
      <w:marBottom w:val="0"/>
      <w:divBdr>
        <w:top w:val="none" w:sz="0" w:space="0" w:color="auto"/>
        <w:left w:val="none" w:sz="0" w:space="0" w:color="auto"/>
        <w:bottom w:val="none" w:sz="0" w:space="0" w:color="auto"/>
        <w:right w:val="none" w:sz="0" w:space="0" w:color="auto"/>
      </w:divBdr>
    </w:div>
    <w:div w:id="688917856">
      <w:bodyDiv w:val="1"/>
      <w:marLeft w:val="0"/>
      <w:marRight w:val="0"/>
      <w:marTop w:val="0"/>
      <w:marBottom w:val="0"/>
      <w:divBdr>
        <w:top w:val="none" w:sz="0" w:space="0" w:color="auto"/>
        <w:left w:val="none" w:sz="0" w:space="0" w:color="auto"/>
        <w:bottom w:val="none" w:sz="0" w:space="0" w:color="auto"/>
        <w:right w:val="none" w:sz="0" w:space="0" w:color="auto"/>
      </w:divBdr>
    </w:div>
    <w:div w:id="120606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3EA57-D9B7-4CF9-95DE-FAFE6AFB6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2688</Words>
  <Characters>14518</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 Consultoria de Investimentos</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m014052</dc:creator>
  <cp:lastModifiedBy>Three DI</cp:lastModifiedBy>
  <cp:revision>2</cp:revision>
  <cp:lastPrinted>2012-01-12T18:33:00Z</cp:lastPrinted>
  <dcterms:created xsi:type="dcterms:W3CDTF">2022-06-01T12:59:00Z</dcterms:created>
  <dcterms:modified xsi:type="dcterms:W3CDTF">2022-06-01T12:59:00Z</dcterms:modified>
</cp:coreProperties>
</file>