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194" w14:textId="77777777" w:rsidR="00096985" w:rsidRDefault="00096985" w:rsidP="004455EC">
      <w:pPr>
        <w:jc w:val="both"/>
      </w:pPr>
    </w:p>
    <w:p w14:paraId="6B5791B8" w14:textId="43FBDA67" w:rsidR="004455EC" w:rsidRPr="00096985" w:rsidRDefault="00437C99" w:rsidP="004455EC">
      <w:pPr>
        <w:jc w:val="both"/>
        <w:rPr>
          <w:b/>
          <w:bCs/>
        </w:rPr>
      </w:pPr>
      <w:r>
        <w:rPr>
          <w:b/>
          <w:bCs/>
        </w:rPr>
        <w:t>Política de Aquisição e Monitoramento de Ativos de Crédito Privado</w:t>
      </w:r>
    </w:p>
    <w:p w14:paraId="1BCAB9C4" w14:textId="6F71B2DE" w:rsidR="004455EC" w:rsidRDefault="004455EC" w:rsidP="004455EC">
      <w:pPr>
        <w:jc w:val="both"/>
      </w:pPr>
      <w:r>
        <w:t>Data de Publicação</w:t>
      </w:r>
      <w:r w:rsidR="00096985">
        <w:t xml:space="preserve"> </w:t>
      </w:r>
      <w:r w:rsidR="00940FA3">
        <w:t>08</w:t>
      </w:r>
      <w:r w:rsidR="00040DA2">
        <w:t>/</w:t>
      </w:r>
      <w:r w:rsidR="00F93E31">
        <w:t>11</w:t>
      </w:r>
      <w:r w:rsidR="00040DA2">
        <w:t>/2021</w:t>
      </w:r>
    </w:p>
    <w:p w14:paraId="3E683287" w14:textId="77ED9218" w:rsidR="004455EC" w:rsidRDefault="004455EC" w:rsidP="004455EC">
      <w:pPr>
        <w:jc w:val="both"/>
      </w:pPr>
      <w:r>
        <w:t>Tipo</w:t>
      </w:r>
      <w:r w:rsidR="00096985">
        <w:t xml:space="preserve"> </w:t>
      </w:r>
      <w:r w:rsidR="00C23AFC">
        <w:t>POLÍTICA</w:t>
      </w:r>
    </w:p>
    <w:p w14:paraId="06146CDB" w14:textId="77777777" w:rsidR="004455EC" w:rsidRDefault="004455EC" w:rsidP="004455EC">
      <w:pPr>
        <w:jc w:val="both"/>
      </w:pPr>
      <w:r>
        <w:t>Descrição</w:t>
      </w:r>
    </w:p>
    <w:p w14:paraId="15E8F29B" w14:textId="77777777" w:rsidR="00437C99" w:rsidRDefault="00437C99" w:rsidP="00EB7C26">
      <w:pPr>
        <w:jc w:val="both"/>
      </w:pPr>
      <w:r w:rsidRPr="00437C99">
        <w:t>A presente Política de Aquisição e Monitoramento de Ativos de Crédito Privado (“Política”)</w:t>
      </w:r>
      <w:r>
        <w:t xml:space="preserve">, </w:t>
      </w:r>
      <w:r w:rsidRPr="00437C99">
        <w:t>dispõe acerca das regras e procedimentos que nortearão a aquisição, por parte de Fundos de Investimentos em Cotas de Fundos de Investimentos Multimercados - Créditos Privados (“FICs de FIMs - CP” ou “Fundos Investidores”)</w:t>
      </w:r>
      <w:r>
        <w:t>.</w:t>
      </w:r>
    </w:p>
    <w:p w14:paraId="6F1AC172" w14:textId="1275B006" w:rsidR="00A9757B" w:rsidRDefault="00437C99" w:rsidP="00EB7C26">
      <w:pPr>
        <w:jc w:val="both"/>
      </w:pPr>
      <w:r w:rsidRPr="00437C99">
        <w:t xml:space="preserve">Para efeito do disposto na presente Política, são considerados “Ativos de Crédito Privados”, nos termos das políticas de investimentos constantes dos regulamentos dos FICs de FIMs </w:t>
      </w:r>
      <w:r>
        <w:t>–</w:t>
      </w:r>
      <w:r w:rsidRPr="00437C99">
        <w:t xml:space="preserve"> CP</w:t>
      </w:r>
      <w:r>
        <w:t>,</w:t>
      </w:r>
      <w:r w:rsidRPr="00437C99">
        <w:t xml:space="preserve"> (i) majoritariamente, as cotas de Fundos de investimentos e Cotas de Fundos de Investimentos em Cotas de Fundos de investimentos regulamentados pela Instrução CVM n° 555/14, conforme alterada, dentre outras modalidades de fundos; e (ii) minoritariamente, os ativos de crédito privado de responsabilidade de pessoas naturais, jurídicas de direito privado, ou emissores públicos, outros que não correspondentes a União Federal. </w:t>
      </w:r>
      <w:r w:rsidR="00940FA3">
        <w:t>METODOLOGIA</w:t>
      </w:r>
    </w:p>
    <w:p w14:paraId="16C3C745" w14:textId="47EE85E9" w:rsidR="00940FA3" w:rsidRDefault="00940FA3" w:rsidP="001F0918">
      <w:pPr>
        <w:jc w:val="both"/>
      </w:pPr>
      <w:r w:rsidRPr="00940FA3">
        <w:t xml:space="preserve">A equipe de gestão profissional poderá ser composta por colaboradores que possuam ou não a certificação profissional ANBIMA para Gestores de Recursos de Terceiros (“CGA”), observando as seguintes regras:  </w:t>
      </w:r>
    </w:p>
    <w:p w14:paraId="2EB338C5" w14:textId="064826DB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>Todos os colaboradores que tenham sido designados como membros da equipe de gestão profissional de recursos de terceiros, com alçada/poder discricionário de investimento de ativos financeiros (compra e venda) integrantes das carteiras dos veículos de investimento geridos, devem obrigatoriamente, deter a certificação profissional para Gestores de Recursos de Terceiros - “CGA” ou a isenção dela, desde que devidamente atestada pela ANBIMA.</w:t>
      </w:r>
    </w:p>
    <w:p w14:paraId="46F869BD" w14:textId="1023B94C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 xml:space="preserve">Todos os colaboradores que não possuam o CGA poderão atuar, exclusivamente, no sentido de municiar o Gestor e/ou a equipe de Gestão com a análise de ativos financeiros.   </w:t>
      </w:r>
    </w:p>
    <w:p w14:paraId="79D87D29" w14:textId="4D5C0B4D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>Na hipótese de a Sociedade entender que um profissional está apto a realizar a gestão profissional com alçada/poder discricionário de investimento,</w:t>
      </w:r>
      <w:r>
        <w:t xml:space="preserve"> </w:t>
      </w:r>
      <w:r w:rsidRPr="00940FA3">
        <w:t>este só poderá exercer tal função após realizar as provas de certificação</w:t>
      </w:r>
      <w:r>
        <w:t>.</w:t>
      </w:r>
    </w:p>
    <w:p w14:paraId="367DE423" w14:textId="77777777" w:rsidR="00940FA3" w:rsidRDefault="00940FA3" w:rsidP="00940FA3">
      <w:pPr>
        <w:pStyle w:val="PargrafodaLista"/>
        <w:numPr>
          <w:ilvl w:val="0"/>
          <w:numId w:val="4"/>
        </w:numPr>
        <w:jc w:val="both"/>
      </w:pPr>
      <w:r w:rsidRPr="00940FA3">
        <w:t xml:space="preserve">A sociedade desde já, se compromete expressamente, a não contratar nenhum profissional externo ou promover nenhum funcionário para exercer funções ligadas a gestão profissional de recursos de terceiros, com alçada/poder discricionário, que não detenham a certificação profissional - “CGA” ou a isenção dela, devidamente atestada pela ANBIMA e com validade vigente. </w:t>
      </w:r>
    </w:p>
    <w:p w14:paraId="16E63756" w14:textId="77777777" w:rsidR="00437C99" w:rsidRDefault="00437C99" w:rsidP="00AB37AD">
      <w:pPr>
        <w:jc w:val="both"/>
      </w:pPr>
      <w:r w:rsidRPr="00437C99">
        <w:t xml:space="preserve">Responsabilidade  </w:t>
      </w:r>
    </w:p>
    <w:p w14:paraId="60F97573" w14:textId="48027460" w:rsidR="00AB37AD" w:rsidRDefault="00437C99" w:rsidP="00AB37AD">
      <w:pPr>
        <w:jc w:val="both"/>
      </w:pPr>
      <w:r w:rsidRPr="00437C99">
        <w:t>A responsabilidade por todos os aspectos atinentes a esta Política recairá sobre o Comitê de Investimentos</w:t>
      </w:r>
      <w:r>
        <w:t xml:space="preserve"> </w:t>
      </w:r>
      <w:r w:rsidRPr="00437C99">
        <w:t xml:space="preserve">(“Comitê”), </w:t>
      </w:r>
      <w:r>
        <w:t>o</w:t>
      </w:r>
      <w:r w:rsidRPr="00437C99">
        <w:t xml:space="preserve"> qual fará reuniões ordinárias, a priori com periodicidade mensal, ou extraordinárias, caso a Sociedade vislumbre especificamente a aquisição e/ou desfazimento em potencial de algum Ativo de Crédito Privado.</w:t>
      </w:r>
    </w:p>
    <w:p w14:paraId="436627F7" w14:textId="5131B4A4" w:rsidR="007F004A" w:rsidRDefault="007F004A" w:rsidP="00AB37AD">
      <w:pPr>
        <w:jc w:val="both"/>
      </w:pPr>
      <w:r w:rsidRPr="007F004A">
        <w:lastRenderedPageBreak/>
        <w:t xml:space="preserve">As decisões tomadas no âmbito deste Comitê são registradas em atas, as quais são arquivadas.  </w:t>
      </w:r>
      <w:r w:rsidRPr="007F004A">
        <w:t>Caberá este</w:t>
      </w:r>
      <w:r w:rsidRPr="007F004A">
        <w:t xml:space="preserve"> Comitê deliberar sobre:  </w:t>
      </w:r>
    </w:p>
    <w:p w14:paraId="423BD86B" w14:textId="77777777" w:rsidR="007F004A" w:rsidRDefault="007F004A" w:rsidP="00AB37AD">
      <w:pPr>
        <w:jc w:val="both"/>
      </w:pPr>
      <w:r w:rsidRPr="007F004A">
        <w:t xml:space="preserve">(i) os Ativos de Crédito Privado que as carteiras dos Fundos Investidores possam adquirir e/ou se desfazer, com base nos resultados da due diligence e análises quantitativa e qualitativa;   </w:t>
      </w:r>
    </w:p>
    <w:p w14:paraId="130907ED" w14:textId="77777777" w:rsidR="007F004A" w:rsidRDefault="007F004A" w:rsidP="00AB37AD">
      <w:pPr>
        <w:jc w:val="both"/>
      </w:pPr>
      <w:r w:rsidRPr="007F004A">
        <w:t xml:space="preserve">(ii) o perfil de risco das contrapartes em operações envolvendo contratos de swap, opções ou derivativos realizados em balcão;  </w:t>
      </w:r>
    </w:p>
    <w:p w14:paraId="792C31E8" w14:textId="77777777" w:rsidR="007F004A" w:rsidRDefault="007F004A" w:rsidP="00AB37AD">
      <w:pPr>
        <w:jc w:val="both"/>
      </w:pPr>
      <w:r w:rsidRPr="007F004A">
        <w:t xml:space="preserve">(iii) o grau de exposição a serem assumidos pelos Fundos Investidores nas operações de crédito privado;  </w:t>
      </w:r>
    </w:p>
    <w:p w14:paraId="6590B272" w14:textId="77777777" w:rsidR="007F004A" w:rsidRDefault="007F004A" w:rsidP="00AB37AD">
      <w:pPr>
        <w:jc w:val="both"/>
      </w:pPr>
      <w:r w:rsidRPr="007F004A">
        <w:t xml:space="preserve">(iv) a manutenção ou não dos Ativos de Crédito Privado e/ou operações (“Operações de Crédito Privado”) que são sejam subjacentes existentes nas carteiras dos Fundos Investidores, as suas respectivas reavaliações e monitoramentos; e  </w:t>
      </w:r>
    </w:p>
    <w:p w14:paraId="21375A93" w14:textId="7B1A9FC5" w:rsidR="007F004A" w:rsidRDefault="007F004A" w:rsidP="00AB37AD">
      <w:pPr>
        <w:jc w:val="both"/>
      </w:pPr>
      <w:r w:rsidRPr="007F004A">
        <w:t>(v) as ações a serem tomadas mediante a eminência ou existência de indícios de inadimplência de devedores ou contrapartes em Ativos /ou Operações de Crédito Privado.</w:t>
      </w:r>
    </w:p>
    <w:p w14:paraId="1C692025" w14:textId="77777777" w:rsidR="007F004A" w:rsidRDefault="007F004A" w:rsidP="00AB37AD">
      <w:pPr>
        <w:jc w:val="both"/>
      </w:pPr>
      <w:r w:rsidRPr="007F004A">
        <w:t xml:space="preserve">Due Diligence, Análises e Monitoramento  </w:t>
      </w:r>
    </w:p>
    <w:p w14:paraId="741304BF" w14:textId="77777777" w:rsidR="007F004A" w:rsidRDefault="007F004A" w:rsidP="00AB37AD">
      <w:pPr>
        <w:jc w:val="both"/>
      </w:pPr>
      <w:r w:rsidRPr="007F004A">
        <w:t>Caberá à analista interno integrante da Diretoria a realização da</w:t>
      </w:r>
      <w:r>
        <w:t xml:space="preserve"> </w:t>
      </w:r>
      <w:r w:rsidRPr="007F004A">
        <w:t xml:space="preserve">due diligence e das análises quantitativa e qualitativa dos Ativos de Crédito Privado objeto de compra e/ou venda por parte das carteiras dos Fundos Investidores, nos termos das métricas, indicadores e limitadores qualitativos e quantitativos estabelecidos nas políticas de investimentos contidas em seus respectivos regulamentos.   </w:t>
      </w:r>
    </w:p>
    <w:p w14:paraId="47703909" w14:textId="18A9FF5C" w:rsidR="007F004A" w:rsidRDefault="007F004A" w:rsidP="00AB37AD">
      <w:pPr>
        <w:jc w:val="both"/>
      </w:pPr>
      <w:r w:rsidRPr="007F004A">
        <w:t>Referido analista será responsável também pelo monitoramento dos Ativos de Crédito Privado após as respectivas compras por parte dos Fundos Investidores.</w:t>
      </w:r>
    </w:p>
    <w:p w14:paraId="49599596" w14:textId="77777777" w:rsidR="007F004A" w:rsidRDefault="007F004A" w:rsidP="00AB37AD">
      <w:pPr>
        <w:jc w:val="both"/>
      </w:pPr>
      <w:r w:rsidRPr="007F004A">
        <w:t xml:space="preserve">Monitoramento e Controle  </w:t>
      </w:r>
    </w:p>
    <w:p w14:paraId="58D03A5E" w14:textId="77777777" w:rsidR="007F004A" w:rsidRDefault="007F004A" w:rsidP="00AB37AD">
      <w:pPr>
        <w:jc w:val="both"/>
      </w:pPr>
      <w:r w:rsidRPr="007F004A">
        <w:t>O monitoramento reavaliará periodicamente a qualidade de crédito pertinente aos Ativos de Crédito Privado integrantes das carteiras de investimentos dos Fundos Investidores.</w:t>
      </w:r>
    </w:p>
    <w:p w14:paraId="3C79D8CB" w14:textId="77777777" w:rsidR="007F004A" w:rsidRDefault="007F004A" w:rsidP="00AB37AD">
      <w:pPr>
        <w:jc w:val="both"/>
      </w:pPr>
      <w:r w:rsidRPr="007F004A">
        <w:t>Dentre esses critérios de qualidade, serão considerados os resultados,</w:t>
      </w:r>
      <w:r>
        <w:t xml:space="preserve"> performances</w:t>
      </w:r>
      <w:r w:rsidRPr="007F004A">
        <w:t>, percentual de detenção, relevância, notas de ratings e capacidades</w:t>
      </w:r>
      <w:r>
        <w:t xml:space="preserve"> </w:t>
      </w:r>
      <w:r w:rsidRPr="007F004A">
        <w:t>de</w:t>
      </w:r>
      <w:r>
        <w:t xml:space="preserve"> </w:t>
      </w:r>
      <w:r w:rsidRPr="007F004A">
        <w:t xml:space="preserve">solvência dos devedores e pagamento dos garantidores, dentre outros, conforme aplicáveis.    </w:t>
      </w:r>
    </w:p>
    <w:p w14:paraId="0D5C9948" w14:textId="77777777" w:rsidR="007F004A" w:rsidRDefault="007F004A" w:rsidP="00AB37AD">
      <w:pPr>
        <w:jc w:val="both"/>
      </w:pPr>
      <w:r w:rsidRPr="007F004A">
        <w:t>Os controles dos Ativos de Crédito Privados serão realizados por meio de planilhas manuais e eletrônicas, alimentadas por dados do mercado para cálculos de retorno, market to market</w:t>
      </w:r>
      <w:r>
        <w:t xml:space="preserve"> - </w:t>
      </w:r>
      <w:r w:rsidRPr="007F004A">
        <w:t xml:space="preserve">MtM e taxa interna de retorno TIR, dentre outros. </w:t>
      </w:r>
    </w:p>
    <w:p w14:paraId="743A5C1C" w14:textId="20742A1E" w:rsidR="007F004A" w:rsidRDefault="007F004A" w:rsidP="00AB37AD">
      <w:pPr>
        <w:jc w:val="both"/>
      </w:pPr>
      <w:r>
        <w:t>Eventual Inadimplência</w:t>
      </w:r>
    </w:p>
    <w:p w14:paraId="4CB63C85" w14:textId="347128E3" w:rsidR="007F004A" w:rsidRDefault="007F004A" w:rsidP="00AB37AD">
      <w:pPr>
        <w:jc w:val="both"/>
      </w:pPr>
      <w:r w:rsidRPr="007F004A">
        <w:t>Em caso de deterioração da qualidade de crédito de determinado Ativo de Crédito Privado, poderão ser consideradas a tomadas das seguintes medidas: (i) a potencial venda, total ou parcial, do mesmo, ainda que acompanhada de eventual perda financeira; e/ou, conforme o caso, (ii) a adoção de medidas extrajudiciais ou judiciais cabíveis visando a recuperação dos respectivos créditos que representam.</w:t>
      </w:r>
    </w:p>
    <w:p w14:paraId="09AB47E4" w14:textId="09F39721" w:rsidR="00AF5E71" w:rsidRPr="00AB37AD" w:rsidRDefault="00AF5E71" w:rsidP="00AB37AD">
      <w:pPr>
        <w:jc w:val="center"/>
      </w:pPr>
      <w:r w:rsidRPr="00AF5E71">
        <w:rPr>
          <w:b/>
          <w:bCs/>
        </w:rPr>
        <w:t>Brado Capital</w:t>
      </w:r>
    </w:p>
    <w:sectPr w:rsidR="00AF5E71" w:rsidRPr="00AB3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0F56" w14:textId="77777777" w:rsidR="00E1006E" w:rsidRDefault="00E1006E" w:rsidP="00096985">
      <w:pPr>
        <w:spacing w:after="0" w:line="240" w:lineRule="auto"/>
      </w:pPr>
      <w:r>
        <w:separator/>
      </w:r>
    </w:p>
  </w:endnote>
  <w:endnote w:type="continuationSeparator" w:id="0">
    <w:p w14:paraId="47F91346" w14:textId="77777777" w:rsidR="00E1006E" w:rsidRDefault="00E1006E" w:rsidP="000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21C" w14:textId="77777777" w:rsidR="00A1795D" w:rsidRDefault="00A17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A86" w14:textId="77777777" w:rsidR="00096985" w:rsidRPr="00352A9B" w:rsidRDefault="00096985" w:rsidP="00096985">
    <w:pPr>
      <w:pStyle w:val="Rodap"/>
      <w:ind w:left="-567"/>
      <w:rPr>
        <w:sz w:val="20"/>
        <w:szCs w:val="20"/>
      </w:rPr>
    </w:pPr>
    <w:r w:rsidRPr="00352A9B">
      <w:rPr>
        <w:color w:val="7E7E7E"/>
        <w:sz w:val="20"/>
        <w:szCs w:val="20"/>
      </w:rPr>
      <w:t xml:space="preserve">Rua Pedroso Alvarenga, 691, 10º andar, </w:t>
    </w:r>
    <w:r w:rsidRPr="00352A9B">
      <w:rPr>
        <w:color w:val="7E7E7E"/>
        <w:spacing w:val="2"/>
        <w:sz w:val="20"/>
        <w:szCs w:val="20"/>
      </w:rPr>
      <w:t>c</w:t>
    </w:r>
    <w:r w:rsidRPr="00352A9B">
      <w:rPr>
        <w:color w:val="7E7E7E"/>
        <w:spacing w:val="-1"/>
        <w:sz w:val="20"/>
        <w:szCs w:val="20"/>
      </w:rPr>
      <w:t>on</w:t>
    </w:r>
    <w:r w:rsidRPr="00352A9B">
      <w:rPr>
        <w:color w:val="7E7E7E"/>
        <w:sz w:val="20"/>
        <w:szCs w:val="20"/>
      </w:rPr>
      <w:t>j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pacing w:val="1"/>
        <w:sz w:val="20"/>
        <w:szCs w:val="20"/>
      </w:rPr>
      <w:t>007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3"/>
        <w:sz w:val="20"/>
        <w:szCs w:val="20"/>
      </w:rPr>
      <w:t>S</w:t>
    </w:r>
    <w:r w:rsidRPr="00352A9B">
      <w:rPr>
        <w:color w:val="7E7E7E"/>
        <w:sz w:val="20"/>
        <w:szCs w:val="20"/>
      </w:rPr>
      <w:t>ão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P</w:t>
    </w:r>
    <w:r w:rsidRPr="00352A9B">
      <w:rPr>
        <w:color w:val="7E7E7E"/>
        <w:spacing w:val="-2"/>
        <w:sz w:val="20"/>
        <w:szCs w:val="20"/>
      </w:rPr>
      <w:t>a</w:t>
    </w:r>
    <w:r w:rsidRPr="00352A9B">
      <w:rPr>
        <w:color w:val="7E7E7E"/>
        <w:spacing w:val="1"/>
        <w:sz w:val="20"/>
        <w:szCs w:val="20"/>
      </w:rPr>
      <w:t>u</w:t>
    </w:r>
    <w:r w:rsidRPr="00352A9B">
      <w:rPr>
        <w:color w:val="7E7E7E"/>
        <w:spacing w:val="-1"/>
        <w:sz w:val="20"/>
        <w:szCs w:val="20"/>
      </w:rPr>
      <w:t>lo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SP,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04531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011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2"/>
        <w:sz w:val="20"/>
        <w:szCs w:val="20"/>
      </w:rPr>
      <w:t>B</w:t>
    </w:r>
    <w:r w:rsidRPr="00352A9B">
      <w:rPr>
        <w:color w:val="7E7E7E"/>
        <w:spacing w:val="-2"/>
        <w:sz w:val="20"/>
        <w:szCs w:val="20"/>
      </w:rPr>
      <w:t>r</w:t>
    </w:r>
    <w:r w:rsidRPr="00352A9B">
      <w:rPr>
        <w:color w:val="7E7E7E"/>
        <w:sz w:val="20"/>
        <w:szCs w:val="20"/>
      </w:rPr>
      <w:t>a</w:t>
    </w:r>
    <w:r w:rsidRPr="00352A9B">
      <w:rPr>
        <w:color w:val="7E7E7E"/>
        <w:spacing w:val="-1"/>
        <w:sz w:val="20"/>
        <w:szCs w:val="20"/>
      </w:rPr>
      <w:t>s</w:t>
    </w:r>
    <w:r w:rsidRPr="00352A9B">
      <w:rPr>
        <w:color w:val="7E7E7E"/>
        <w:spacing w:val="1"/>
        <w:sz w:val="20"/>
        <w:szCs w:val="20"/>
      </w:rPr>
      <w:t>i</w:t>
    </w:r>
    <w:r w:rsidRPr="00352A9B">
      <w:rPr>
        <w:color w:val="7E7E7E"/>
        <w:spacing w:val="-1"/>
        <w:sz w:val="20"/>
        <w:szCs w:val="20"/>
      </w:rPr>
      <w:t>l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t</w:t>
    </w:r>
    <w:r w:rsidRPr="00352A9B">
      <w:rPr>
        <w:color w:val="7E7E7E"/>
        <w:sz w:val="20"/>
        <w:szCs w:val="20"/>
      </w:rPr>
      <w:t>e</w:t>
    </w:r>
    <w:r w:rsidRPr="00352A9B">
      <w:rPr>
        <w:color w:val="7E7E7E"/>
        <w:spacing w:val="-1"/>
        <w:sz w:val="20"/>
        <w:szCs w:val="20"/>
      </w:rPr>
      <w:t>l</w:t>
    </w:r>
    <w:r w:rsidRPr="00352A9B">
      <w:rPr>
        <w:color w:val="7E7E7E"/>
        <w:sz w:val="20"/>
        <w:szCs w:val="20"/>
      </w:rPr>
      <w:t>: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+5</w:t>
    </w:r>
    <w:r w:rsidRPr="00352A9B">
      <w:rPr>
        <w:color w:val="7E7E7E"/>
        <w:sz w:val="20"/>
        <w:szCs w:val="20"/>
      </w:rPr>
      <w:t>5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z w:val="20"/>
        <w:szCs w:val="20"/>
      </w:rPr>
      <w:t xml:space="preserve">1 </w:t>
    </w:r>
    <w:r w:rsidRPr="00352A9B">
      <w:rPr>
        <w:color w:val="7E7E7E"/>
        <w:spacing w:val="-1"/>
        <w:sz w:val="20"/>
        <w:szCs w:val="20"/>
      </w:rPr>
      <w:t>3</w:t>
    </w:r>
    <w:r w:rsidRPr="00352A9B">
      <w:rPr>
        <w:color w:val="7E7E7E"/>
        <w:spacing w:val="1"/>
        <w:sz w:val="20"/>
        <w:szCs w:val="20"/>
      </w:rPr>
      <w:t>0</w:t>
    </w:r>
    <w:r w:rsidRPr="00352A9B">
      <w:rPr>
        <w:color w:val="7E7E7E"/>
        <w:spacing w:val="-1"/>
        <w:sz w:val="20"/>
        <w:szCs w:val="20"/>
      </w:rPr>
      <w:t>7</w:t>
    </w:r>
    <w:r w:rsidRPr="00352A9B">
      <w:rPr>
        <w:color w:val="7E7E7E"/>
        <w:spacing w:val="1"/>
        <w:sz w:val="20"/>
        <w:szCs w:val="20"/>
      </w:rPr>
      <w:t>8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3</w:t>
    </w:r>
    <w:r w:rsidRPr="00352A9B">
      <w:rPr>
        <w:color w:val="7E7E7E"/>
        <w:spacing w:val="-1"/>
        <w:sz w:val="20"/>
        <w:szCs w:val="20"/>
      </w:rPr>
      <w:t>76</w:t>
    </w:r>
    <w:r w:rsidRPr="00352A9B">
      <w:rPr>
        <w:color w:val="7E7E7E"/>
        <w:spacing w:val="1"/>
        <w:sz w:val="20"/>
        <w:szCs w:val="20"/>
      </w:rPr>
      <w:t>7</w:t>
    </w:r>
  </w:p>
  <w:p w14:paraId="0B670C75" w14:textId="77777777" w:rsidR="00096985" w:rsidRDefault="000969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AC4" w14:textId="77777777" w:rsidR="00A1795D" w:rsidRDefault="00A17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BB6" w14:textId="77777777" w:rsidR="00E1006E" w:rsidRDefault="00E1006E" w:rsidP="00096985">
      <w:pPr>
        <w:spacing w:after="0" w:line="240" w:lineRule="auto"/>
      </w:pPr>
      <w:r>
        <w:separator/>
      </w:r>
    </w:p>
  </w:footnote>
  <w:footnote w:type="continuationSeparator" w:id="0">
    <w:p w14:paraId="0CD43755" w14:textId="77777777" w:rsidR="00E1006E" w:rsidRDefault="00E1006E" w:rsidP="0009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7CE" w14:textId="77777777" w:rsidR="00A1795D" w:rsidRDefault="00A17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4D4A" w14:textId="41FC7CCA" w:rsidR="00096985" w:rsidRDefault="00096985">
    <w:pPr>
      <w:pStyle w:val="Cabealho"/>
    </w:pPr>
    <w:r>
      <w:rPr>
        <w:noProof/>
        <w:lang w:eastAsia="pt-BR"/>
      </w:rPr>
      <w:drawing>
        <wp:inline distT="0" distB="0" distL="0" distR="0" wp14:anchorId="0E4C2A70" wp14:editId="2E6C188B">
          <wp:extent cx="5400040" cy="734087"/>
          <wp:effectExtent l="0" t="0" r="0" b="8890"/>
          <wp:docPr id="1" name="Imagem 1" descr="papel carta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carta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78C3" w14:textId="77777777" w:rsidR="00A1795D" w:rsidRDefault="00A179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093"/>
    <w:multiLevelType w:val="hybridMultilevel"/>
    <w:tmpl w:val="2C760850"/>
    <w:lvl w:ilvl="0" w:tplc="E88CC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69DB"/>
    <w:multiLevelType w:val="hybridMultilevel"/>
    <w:tmpl w:val="6D782B1A"/>
    <w:lvl w:ilvl="0" w:tplc="79CE2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7963"/>
    <w:multiLevelType w:val="hybridMultilevel"/>
    <w:tmpl w:val="4ECEA1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8186F"/>
    <w:multiLevelType w:val="hybridMultilevel"/>
    <w:tmpl w:val="26A4CC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E6B31"/>
    <w:multiLevelType w:val="hybridMultilevel"/>
    <w:tmpl w:val="FD9275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93650">
    <w:abstractNumId w:val="1"/>
  </w:num>
  <w:num w:numId="2" w16cid:durableId="149835810">
    <w:abstractNumId w:val="0"/>
  </w:num>
  <w:num w:numId="3" w16cid:durableId="2028940081">
    <w:abstractNumId w:val="2"/>
  </w:num>
  <w:num w:numId="4" w16cid:durableId="644897455">
    <w:abstractNumId w:val="3"/>
  </w:num>
  <w:num w:numId="5" w16cid:durableId="191878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EC"/>
    <w:rsid w:val="00040DA2"/>
    <w:rsid w:val="00096985"/>
    <w:rsid w:val="000D3BE5"/>
    <w:rsid w:val="001F0918"/>
    <w:rsid w:val="002075DB"/>
    <w:rsid w:val="00292CF4"/>
    <w:rsid w:val="002A4D90"/>
    <w:rsid w:val="002F608D"/>
    <w:rsid w:val="00357599"/>
    <w:rsid w:val="003657DF"/>
    <w:rsid w:val="004020A8"/>
    <w:rsid w:val="00437C99"/>
    <w:rsid w:val="004455EC"/>
    <w:rsid w:val="00576905"/>
    <w:rsid w:val="006502B4"/>
    <w:rsid w:val="006D58EC"/>
    <w:rsid w:val="00704CC4"/>
    <w:rsid w:val="007053FE"/>
    <w:rsid w:val="00745EB6"/>
    <w:rsid w:val="00754FC1"/>
    <w:rsid w:val="007A7EDF"/>
    <w:rsid w:val="007C34BD"/>
    <w:rsid w:val="007F004A"/>
    <w:rsid w:val="00940FA3"/>
    <w:rsid w:val="00977C24"/>
    <w:rsid w:val="00A1795D"/>
    <w:rsid w:val="00A67816"/>
    <w:rsid w:val="00A9757B"/>
    <w:rsid w:val="00AB37AD"/>
    <w:rsid w:val="00AF5E71"/>
    <w:rsid w:val="00C23AFC"/>
    <w:rsid w:val="00CB248D"/>
    <w:rsid w:val="00D77E99"/>
    <w:rsid w:val="00E1006E"/>
    <w:rsid w:val="00E159C1"/>
    <w:rsid w:val="00EB7C26"/>
    <w:rsid w:val="00EC032E"/>
    <w:rsid w:val="00F3416A"/>
    <w:rsid w:val="00F80A1E"/>
    <w:rsid w:val="00F853D0"/>
    <w:rsid w:val="00F93E31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3D2"/>
  <w15:docId w15:val="{5D6F0909-DEA2-4B28-9003-75E3E3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985"/>
  </w:style>
  <w:style w:type="paragraph" w:styleId="Rodap">
    <w:name w:val="footer"/>
    <w:basedOn w:val="Normal"/>
    <w:link w:val="Rodap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985"/>
  </w:style>
  <w:style w:type="paragraph" w:styleId="PargrafodaLista">
    <w:name w:val="List Paragraph"/>
    <w:basedOn w:val="Normal"/>
    <w:uiPriority w:val="34"/>
    <w:qFormat/>
    <w:rsid w:val="001F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DI</dc:creator>
  <cp:keywords/>
  <dc:description/>
  <cp:lastModifiedBy>Three DI</cp:lastModifiedBy>
  <cp:revision>3</cp:revision>
  <dcterms:created xsi:type="dcterms:W3CDTF">2022-06-20T01:35:00Z</dcterms:created>
  <dcterms:modified xsi:type="dcterms:W3CDTF">2022-06-20T01:44:00Z</dcterms:modified>
</cp:coreProperties>
</file>