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F194" w14:textId="77777777" w:rsidR="00096985" w:rsidRDefault="00096985" w:rsidP="004455EC">
      <w:pPr>
        <w:jc w:val="both"/>
      </w:pPr>
    </w:p>
    <w:p w14:paraId="6B5791B8" w14:textId="07D7B32E" w:rsidR="004455EC" w:rsidRPr="00096985" w:rsidRDefault="003657DF" w:rsidP="004455EC">
      <w:pPr>
        <w:jc w:val="both"/>
        <w:rPr>
          <w:b/>
          <w:bCs/>
        </w:rPr>
      </w:pPr>
      <w:r>
        <w:rPr>
          <w:b/>
          <w:bCs/>
        </w:rPr>
        <w:t>Política Ambiental, Social e de Governança “ASG”</w:t>
      </w:r>
    </w:p>
    <w:p w14:paraId="1BCAB9C4" w14:textId="687710EE" w:rsidR="004455EC" w:rsidRDefault="004455EC" w:rsidP="004455EC">
      <w:pPr>
        <w:jc w:val="both"/>
      </w:pPr>
      <w:r>
        <w:t>Data de Publicação</w:t>
      </w:r>
      <w:r w:rsidR="00096985">
        <w:t xml:space="preserve"> </w:t>
      </w:r>
      <w:r w:rsidR="00040DA2">
        <w:t>2</w:t>
      </w:r>
      <w:r w:rsidR="00F93E31">
        <w:t>5</w:t>
      </w:r>
      <w:r w:rsidR="00040DA2">
        <w:t>/</w:t>
      </w:r>
      <w:r w:rsidR="00F93E31">
        <w:t>11</w:t>
      </w:r>
      <w:r w:rsidR="00040DA2">
        <w:t>/2021</w:t>
      </w:r>
    </w:p>
    <w:p w14:paraId="3E683287" w14:textId="77ED9218" w:rsidR="004455EC" w:rsidRDefault="004455EC" w:rsidP="004455EC">
      <w:pPr>
        <w:jc w:val="both"/>
      </w:pPr>
      <w:r>
        <w:t>Tipo</w:t>
      </w:r>
      <w:r w:rsidR="00096985">
        <w:t xml:space="preserve"> </w:t>
      </w:r>
      <w:r w:rsidR="00C23AFC">
        <w:t>POLÍTICA</w:t>
      </w:r>
    </w:p>
    <w:p w14:paraId="7119CE83" w14:textId="1E084A26" w:rsidR="004455EC" w:rsidRDefault="004455EC" w:rsidP="004455EC">
      <w:pPr>
        <w:jc w:val="both"/>
      </w:pPr>
      <w:r>
        <w:t>Abrangência</w:t>
      </w:r>
      <w:r w:rsidR="00096985">
        <w:t xml:space="preserve"> </w:t>
      </w:r>
      <w:r w:rsidR="00F93E31">
        <w:t>Departamentos</w:t>
      </w:r>
    </w:p>
    <w:p w14:paraId="06146CDB" w14:textId="77777777" w:rsidR="004455EC" w:rsidRDefault="004455EC" w:rsidP="004455EC">
      <w:pPr>
        <w:jc w:val="both"/>
      </w:pPr>
      <w:r>
        <w:t>Descrição</w:t>
      </w:r>
    </w:p>
    <w:p w14:paraId="7B25FA2C" w14:textId="77777777" w:rsidR="00A9757B" w:rsidRDefault="00C23AFC" w:rsidP="00EB7C26">
      <w:pPr>
        <w:jc w:val="both"/>
      </w:pPr>
      <w:r w:rsidRPr="00C23AFC">
        <w:t>A presente Política tem como objetivo estabelecer princípios, diretrizes e procedimentos que norteiam as ações de natureza socioambiental e de governança a serem observadas no processo de investimento.</w:t>
      </w:r>
    </w:p>
    <w:p w14:paraId="6F1AC172" w14:textId="77777777" w:rsidR="00A9757B" w:rsidRDefault="00C23AFC" w:rsidP="00EB7C26">
      <w:pPr>
        <w:jc w:val="both"/>
      </w:pPr>
      <w:r w:rsidRPr="00C23AFC">
        <w:t>PRINCÍPIOS</w:t>
      </w:r>
      <w:r w:rsidR="00A9757B">
        <w:t xml:space="preserve"> </w:t>
      </w:r>
    </w:p>
    <w:p w14:paraId="3300087F" w14:textId="77777777" w:rsidR="001F0918" w:rsidRDefault="00A9757B" w:rsidP="00EB7C26">
      <w:pPr>
        <w:jc w:val="both"/>
      </w:pPr>
      <w:r>
        <w:t>P</w:t>
      </w:r>
      <w:r w:rsidR="00C23AFC" w:rsidRPr="00C23AFC">
        <w:t>or meio de sua atuação como gestora de recursos independente, busca contribuir para o desenvolvimento econômico da sociedade, zelando para que todos os recursos sejam utilizados de maneira consciente e sustentável.</w:t>
      </w:r>
      <w:r w:rsidR="00292CF4">
        <w:t xml:space="preserve"> </w:t>
      </w:r>
      <w:r w:rsidR="00C23AFC" w:rsidRPr="00C23AFC">
        <w:t xml:space="preserve">Em sua análise de investimento, leva em consideração a sustentabilidade de longo prazo, pautando sua atuação baseada nos seguintes princípios:   </w:t>
      </w:r>
    </w:p>
    <w:p w14:paraId="396635A4" w14:textId="77777777" w:rsidR="001F0918" w:rsidRDefault="00C23AFC" w:rsidP="00EB7C26">
      <w:pPr>
        <w:jc w:val="both"/>
      </w:pPr>
      <w:r w:rsidRPr="00C23AFC">
        <w:t xml:space="preserve">• Adoção de práticas de desenvolvimento sustentável;  </w:t>
      </w:r>
    </w:p>
    <w:p w14:paraId="15DCC0B6" w14:textId="77777777" w:rsidR="001F0918" w:rsidRDefault="00C23AFC" w:rsidP="00EB7C26">
      <w:pPr>
        <w:jc w:val="both"/>
      </w:pPr>
      <w:r w:rsidRPr="00C23AFC">
        <w:t xml:space="preserve">• Repúdio a todo e qualquer ato que promova a discriminação ou violação de direitos; </w:t>
      </w:r>
    </w:p>
    <w:p w14:paraId="4E161258" w14:textId="77777777" w:rsidR="001F0918" w:rsidRDefault="00C23AFC" w:rsidP="00EB7C26">
      <w:pPr>
        <w:jc w:val="both"/>
      </w:pPr>
      <w:r w:rsidRPr="00C23AFC">
        <w:t xml:space="preserve">• Combate ao trabalho infantil e análogo ao escravo, bem como à exploração sexual; e </w:t>
      </w:r>
    </w:p>
    <w:p w14:paraId="5A3356C2" w14:textId="77777777" w:rsidR="001F0918" w:rsidRDefault="00C23AFC" w:rsidP="00EB7C26">
      <w:pPr>
        <w:jc w:val="both"/>
      </w:pPr>
      <w:r w:rsidRPr="00C23AFC">
        <w:t xml:space="preserve">• Contribuição para o uso racional dos recursos naturais.  </w:t>
      </w:r>
    </w:p>
    <w:p w14:paraId="014DF5F9" w14:textId="77777777" w:rsidR="001F0918" w:rsidRDefault="00C23AFC" w:rsidP="00EB7C26">
      <w:pPr>
        <w:jc w:val="both"/>
      </w:pPr>
      <w:r w:rsidRPr="00C23AFC">
        <w:t>FATORES ASG</w:t>
      </w:r>
    </w:p>
    <w:p w14:paraId="663DE1D8" w14:textId="77777777" w:rsidR="001F0918" w:rsidRDefault="001F0918" w:rsidP="00EB7C26">
      <w:pPr>
        <w:jc w:val="both"/>
      </w:pPr>
      <w:r>
        <w:t>M</w:t>
      </w:r>
      <w:r w:rsidR="00C23AFC" w:rsidRPr="00C23AFC">
        <w:t xml:space="preserve">onitora fatores ASG que, em seu entendimento e no melhor cumprimento de seu dever fiduciário, possuem maior representatividade para geração de valor aos cotistas, bem como para a sociedade em geral. Os fatores ASG monitorados e seus respectivos aspectos julgados relevantes na estratégia de investimento da Gestora estão divididos em três categorias: </w:t>
      </w:r>
    </w:p>
    <w:p w14:paraId="08124C26" w14:textId="40FFF631" w:rsidR="001F0918" w:rsidRDefault="00C23AFC" w:rsidP="001F0918">
      <w:pPr>
        <w:pStyle w:val="PargrafodaLista"/>
        <w:numPr>
          <w:ilvl w:val="0"/>
          <w:numId w:val="1"/>
        </w:numPr>
        <w:jc w:val="both"/>
      </w:pPr>
      <w:r w:rsidRPr="00C23AFC">
        <w:t xml:space="preserve">ambiental; </w:t>
      </w:r>
    </w:p>
    <w:p w14:paraId="2AD40DFC" w14:textId="77777777" w:rsidR="001F0918" w:rsidRDefault="00C23AFC" w:rsidP="001F0918">
      <w:pPr>
        <w:pStyle w:val="PargrafodaLista"/>
        <w:numPr>
          <w:ilvl w:val="0"/>
          <w:numId w:val="1"/>
        </w:numPr>
        <w:jc w:val="both"/>
      </w:pPr>
      <w:r w:rsidRPr="00C23AFC">
        <w:t>(</w:t>
      </w:r>
      <w:proofErr w:type="spellStart"/>
      <w:r w:rsidRPr="00C23AFC">
        <w:t>ii</w:t>
      </w:r>
      <w:proofErr w:type="spellEnd"/>
      <w:r w:rsidRPr="00C23AFC">
        <w:t xml:space="preserve">) social; e </w:t>
      </w:r>
    </w:p>
    <w:p w14:paraId="60F244FD" w14:textId="77777777" w:rsidR="001F0918" w:rsidRDefault="00C23AFC" w:rsidP="001F0918">
      <w:pPr>
        <w:pStyle w:val="PargrafodaLista"/>
        <w:numPr>
          <w:ilvl w:val="0"/>
          <w:numId w:val="1"/>
        </w:numPr>
        <w:jc w:val="both"/>
      </w:pPr>
      <w:r w:rsidRPr="00C23AFC">
        <w:t>(</w:t>
      </w:r>
      <w:proofErr w:type="spellStart"/>
      <w:r w:rsidRPr="00C23AFC">
        <w:t>iii</w:t>
      </w:r>
      <w:proofErr w:type="spellEnd"/>
      <w:r w:rsidRPr="00C23AFC">
        <w:t xml:space="preserve">) governança.  </w:t>
      </w:r>
    </w:p>
    <w:p w14:paraId="0C2EDD7F" w14:textId="77777777" w:rsidR="001F0918" w:rsidRDefault="00C23AFC" w:rsidP="001F0918">
      <w:pPr>
        <w:jc w:val="both"/>
      </w:pPr>
      <w:r w:rsidRPr="00C23AFC">
        <w:t xml:space="preserve">AMBIENTAL  </w:t>
      </w:r>
    </w:p>
    <w:p w14:paraId="373F79C5" w14:textId="77777777" w:rsidR="001F0918" w:rsidRDefault="00C23AFC" w:rsidP="001F0918">
      <w:pPr>
        <w:jc w:val="both"/>
      </w:pPr>
      <w:r w:rsidRPr="00C23AFC">
        <w:t xml:space="preserve">• Eficiência energética, hídrica e uso de energias renováveis (tecnologia limpa); </w:t>
      </w:r>
    </w:p>
    <w:p w14:paraId="46DA360F" w14:textId="77777777" w:rsidR="001F0918" w:rsidRDefault="00C23AFC" w:rsidP="001F0918">
      <w:pPr>
        <w:jc w:val="both"/>
      </w:pPr>
      <w:r w:rsidRPr="00C23AFC">
        <w:t xml:space="preserve">• Gestão adequada de resíduos, inclusive eletroeletrônicos; </w:t>
      </w:r>
    </w:p>
    <w:p w14:paraId="31517101" w14:textId="77777777" w:rsidR="001F0918" w:rsidRDefault="00C23AFC" w:rsidP="001F0918">
      <w:pPr>
        <w:jc w:val="both"/>
      </w:pPr>
      <w:r w:rsidRPr="00C23AFC">
        <w:t xml:space="preserve">• Poluição; e </w:t>
      </w:r>
    </w:p>
    <w:p w14:paraId="479BCDC3" w14:textId="77777777" w:rsidR="00745EB6" w:rsidRDefault="00C23AFC" w:rsidP="001F0918">
      <w:pPr>
        <w:jc w:val="both"/>
      </w:pPr>
      <w:r w:rsidRPr="00C23AFC">
        <w:t xml:space="preserve">• Emissão de carbono  </w:t>
      </w:r>
    </w:p>
    <w:p w14:paraId="05791EFE" w14:textId="412F1DEC" w:rsidR="001F0918" w:rsidRDefault="00C23AFC" w:rsidP="001F0918">
      <w:pPr>
        <w:jc w:val="both"/>
      </w:pPr>
      <w:r w:rsidRPr="00C23AFC">
        <w:t xml:space="preserve">SOCIAL  </w:t>
      </w:r>
    </w:p>
    <w:p w14:paraId="6961140C" w14:textId="77777777" w:rsidR="00745EB6" w:rsidRDefault="00C23AFC" w:rsidP="001F0918">
      <w:pPr>
        <w:jc w:val="both"/>
      </w:pPr>
      <w:r w:rsidRPr="00C23AFC">
        <w:t xml:space="preserve">• Combate ao trabalho infantil e análogo ao escravo, bem como à exploração sexual; </w:t>
      </w:r>
    </w:p>
    <w:p w14:paraId="736BBCA6" w14:textId="77777777" w:rsidR="00745EB6" w:rsidRDefault="00C23AFC" w:rsidP="001F0918">
      <w:pPr>
        <w:jc w:val="both"/>
      </w:pPr>
      <w:r w:rsidRPr="00C23AFC">
        <w:lastRenderedPageBreak/>
        <w:t xml:space="preserve">• Incentivo a práticas de inclusão e diversidade; </w:t>
      </w:r>
    </w:p>
    <w:p w14:paraId="3970F8AC" w14:textId="77777777" w:rsidR="00745EB6" w:rsidRDefault="00C23AFC" w:rsidP="001F0918">
      <w:pPr>
        <w:jc w:val="both"/>
      </w:pPr>
      <w:r w:rsidRPr="00C23AFC">
        <w:t xml:space="preserve">• Respeito e preservação dos direitos humanos;  </w:t>
      </w:r>
    </w:p>
    <w:p w14:paraId="3CC8D888" w14:textId="77777777" w:rsidR="00745EB6" w:rsidRDefault="00C23AFC" w:rsidP="001F0918">
      <w:pPr>
        <w:jc w:val="both"/>
      </w:pPr>
      <w:r w:rsidRPr="00C23AFC">
        <w:t xml:space="preserve">• Políticas, relações e treinamento da força de trabalho; e </w:t>
      </w:r>
    </w:p>
    <w:p w14:paraId="0D95CF41" w14:textId="77777777" w:rsidR="00745EB6" w:rsidRDefault="00C23AFC" w:rsidP="001F0918">
      <w:pPr>
        <w:jc w:val="both"/>
      </w:pPr>
      <w:r w:rsidRPr="00C23AFC">
        <w:t>• Privacidade e segurança de dados</w:t>
      </w:r>
    </w:p>
    <w:p w14:paraId="07BE291F" w14:textId="77777777" w:rsidR="00745EB6" w:rsidRDefault="00C23AFC" w:rsidP="001F0918">
      <w:pPr>
        <w:jc w:val="both"/>
      </w:pPr>
      <w:r w:rsidRPr="00C23AFC">
        <w:t xml:space="preserve">GOVERNANÇA  </w:t>
      </w:r>
    </w:p>
    <w:p w14:paraId="117B5FF5" w14:textId="77777777" w:rsidR="00745EB6" w:rsidRDefault="00C23AFC" w:rsidP="001F0918">
      <w:pPr>
        <w:jc w:val="both"/>
      </w:pPr>
      <w:r w:rsidRPr="00C23AFC">
        <w:t xml:space="preserve">• Transparência; </w:t>
      </w:r>
    </w:p>
    <w:p w14:paraId="046FFB19" w14:textId="77777777" w:rsidR="00745EB6" w:rsidRDefault="00C23AFC" w:rsidP="001F0918">
      <w:pPr>
        <w:jc w:val="both"/>
      </w:pPr>
      <w:r w:rsidRPr="00C23AFC">
        <w:t xml:space="preserve">• Independência dos órgãos diretivos; </w:t>
      </w:r>
    </w:p>
    <w:p w14:paraId="4D684673" w14:textId="77777777" w:rsidR="00745EB6" w:rsidRDefault="00C23AFC" w:rsidP="001F0918">
      <w:pPr>
        <w:jc w:val="both"/>
      </w:pPr>
      <w:r w:rsidRPr="00C23AFC">
        <w:t xml:space="preserve">• Ética; </w:t>
      </w:r>
    </w:p>
    <w:p w14:paraId="699D4BFB" w14:textId="77777777" w:rsidR="00745EB6" w:rsidRDefault="00C23AFC" w:rsidP="001F0918">
      <w:pPr>
        <w:jc w:val="both"/>
      </w:pPr>
      <w:r w:rsidRPr="00C23AFC">
        <w:t xml:space="preserve">• Diversidade na composição dos conselhos e comitês.  </w:t>
      </w:r>
    </w:p>
    <w:p w14:paraId="7F6CAD80" w14:textId="77777777" w:rsidR="00745EB6" w:rsidRDefault="00C23AFC" w:rsidP="001F0918">
      <w:pPr>
        <w:jc w:val="both"/>
      </w:pPr>
      <w:r w:rsidRPr="00C23AFC">
        <w:t xml:space="preserve">ESTRATÉGIAS DE INVESTIMENTO  </w:t>
      </w:r>
    </w:p>
    <w:p w14:paraId="14B1390F" w14:textId="77777777" w:rsidR="00745EB6" w:rsidRDefault="00C23AFC" w:rsidP="001F0918">
      <w:pPr>
        <w:jc w:val="both"/>
      </w:pPr>
      <w:r w:rsidRPr="00C23AFC">
        <w:t xml:space="preserve">Existem diversas estratégias que incluem fatores ASG na análise de investimento, da mesma forma que não há uma solução única, cabendo ao gestor adequá-la às suas necessidades, sendo possível, ainda, combinar mais de uma estratégia na decisão de investimento.   </w:t>
      </w:r>
    </w:p>
    <w:p w14:paraId="3CB05AFB" w14:textId="77777777" w:rsidR="00576905" w:rsidRDefault="00C23AFC" w:rsidP="001F0918">
      <w:pPr>
        <w:jc w:val="both"/>
      </w:pPr>
      <w:r w:rsidRPr="00C23AFC">
        <w:t xml:space="preserve">A tomada de decisões de investimento em determinados ativos, poderá se basear nas seguintes estratégias ASG:  </w:t>
      </w:r>
    </w:p>
    <w:p w14:paraId="77D629C8" w14:textId="77777777" w:rsidR="00576905" w:rsidRDefault="00C23AFC" w:rsidP="001F0918">
      <w:pPr>
        <w:jc w:val="both"/>
      </w:pPr>
      <w:r w:rsidRPr="00C23AFC">
        <w:t xml:space="preserve">Filtro Negativo  </w:t>
      </w:r>
    </w:p>
    <w:p w14:paraId="23786485" w14:textId="77777777" w:rsidR="00576905" w:rsidRDefault="00C23AFC" w:rsidP="001F0918">
      <w:pPr>
        <w:jc w:val="both"/>
      </w:pPr>
      <w:r w:rsidRPr="00C23AFC">
        <w:t xml:space="preserve">Refere-se à exclusão de investimentos em países, setores, empresas ou projetos por não cumprirem normas mínimas estabelecidas por organizações internacionais ou nacionais.  </w:t>
      </w:r>
    </w:p>
    <w:p w14:paraId="25407EAE" w14:textId="77777777" w:rsidR="00576905" w:rsidRDefault="00C23AFC" w:rsidP="001F0918">
      <w:pPr>
        <w:jc w:val="both"/>
      </w:pPr>
      <w:r w:rsidRPr="00C23AFC">
        <w:t xml:space="preserve">Filtro Positivo  </w:t>
      </w:r>
    </w:p>
    <w:p w14:paraId="1975002A" w14:textId="77777777" w:rsidR="00576905" w:rsidRDefault="00C23AFC" w:rsidP="001F0918">
      <w:pPr>
        <w:jc w:val="both"/>
      </w:pPr>
      <w:r w:rsidRPr="00C23AFC">
        <w:t xml:space="preserve">Refere-se à inclusão de investimentos em ativos que atendam os critérios e as normas estabelecidas Por esta Política ASG.  </w:t>
      </w:r>
    </w:p>
    <w:p w14:paraId="1F921021" w14:textId="77777777" w:rsidR="00576905" w:rsidRDefault="00C23AFC" w:rsidP="001F0918">
      <w:pPr>
        <w:jc w:val="both"/>
      </w:pPr>
      <w:r w:rsidRPr="00C23AFC">
        <w:t>Best-in-</w:t>
      </w:r>
      <w:proofErr w:type="spellStart"/>
      <w:r w:rsidRPr="00C23AFC">
        <w:t>class</w:t>
      </w:r>
      <w:proofErr w:type="spellEnd"/>
      <w:r w:rsidRPr="00C23AFC">
        <w:t xml:space="preserve">  </w:t>
      </w:r>
    </w:p>
    <w:p w14:paraId="1F02A237" w14:textId="77777777" w:rsidR="00576905" w:rsidRDefault="00C23AFC" w:rsidP="001F0918">
      <w:pPr>
        <w:jc w:val="both"/>
      </w:pPr>
      <w:r w:rsidRPr="00C23AFC">
        <w:t xml:space="preserve">É um modelo de filtro positivo que funciona como um ranking. São selecionados critérios ASG para a avalição de um determinado setor ou projeto e, a partir dessa análise, são definidos os melhores em relação aos seus pares para receberem o investimento.   </w:t>
      </w:r>
    </w:p>
    <w:p w14:paraId="37AC47D9" w14:textId="77777777" w:rsidR="00576905" w:rsidRDefault="00C23AFC" w:rsidP="001F0918">
      <w:pPr>
        <w:jc w:val="both"/>
      </w:pPr>
      <w:r w:rsidRPr="00C23AFC">
        <w:t xml:space="preserve">Investimento de Impacto  </w:t>
      </w:r>
    </w:p>
    <w:p w14:paraId="4B79E77B" w14:textId="77777777" w:rsidR="00A67816" w:rsidRDefault="00C23AFC" w:rsidP="001F0918">
      <w:pPr>
        <w:jc w:val="both"/>
      </w:pPr>
      <w:r w:rsidRPr="00C23AFC">
        <w:t xml:space="preserve">São investimentos feitos em setores, companhias ou projetos focados na geração de impacto socioambiental. A performance do investimento é a combinação do impacto gerado na sociedade/meio ambiente e do retorno financeiro.  </w:t>
      </w:r>
    </w:p>
    <w:p w14:paraId="37F07083" w14:textId="77777777" w:rsidR="00A67816" w:rsidRDefault="00C23AFC" w:rsidP="001F0918">
      <w:pPr>
        <w:jc w:val="both"/>
      </w:pPr>
      <w:r w:rsidRPr="00C23AFC">
        <w:t xml:space="preserve">Engajamento Corporativo  </w:t>
      </w:r>
    </w:p>
    <w:p w14:paraId="46D4CA6F" w14:textId="77777777" w:rsidR="00A67816" w:rsidRDefault="00C23AFC" w:rsidP="001F0918">
      <w:pPr>
        <w:jc w:val="both"/>
      </w:pPr>
      <w:r w:rsidRPr="00C23AFC">
        <w:t xml:space="preserve">Tem como premissa a utilização da participação acionária na influência estratégica da empresa em relação a adoção de políticas ASG. </w:t>
      </w:r>
    </w:p>
    <w:p w14:paraId="42545832" w14:textId="77777777" w:rsidR="00A67816" w:rsidRDefault="00C23AFC" w:rsidP="001F0918">
      <w:pPr>
        <w:jc w:val="both"/>
      </w:pPr>
      <w:r w:rsidRPr="00C23AFC">
        <w:t xml:space="preserve">Integração ASG </w:t>
      </w:r>
    </w:p>
    <w:p w14:paraId="625ED281" w14:textId="77777777" w:rsidR="00A67816" w:rsidRDefault="00C23AFC" w:rsidP="001F0918">
      <w:pPr>
        <w:jc w:val="both"/>
      </w:pPr>
      <w:r w:rsidRPr="00C23AFC">
        <w:lastRenderedPageBreak/>
        <w:t xml:space="preserve">Na integração ASG são incorporados fatores socioambientais e de governança nos modelos de análise financeira da empresa ou do projeto. Visa capturar os impactos que determinados fatores terão no futuro, seja no perfil de risco ou na geração de lucros. </w:t>
      </w:r>
    </w:p>
    <w:p w14:paraId="2890DE69" w14:textId="77777777" w:rsidR="00A67816" w:rsidRDefault="00C23AFC" w:rsidP="001F0918">
      <w:pPr>
        <w:jc w:val="both"/>
      </w:pPr>
      <w:r w:rsidRPr="00C23AFC">
        <w:t xml:space="preserve">ESTRUTURA DE GOVERNANÇA ASG </w:t>
      </w:r>
    </w:p>
    <w:p w14:paraId="2D84AA68" w14:textId="77777777" w:rsidR="00CB248D" w:rsidRDefault="00C23AFC" w:rsidP="001F0918">
      <w:pPr>
        <w:jc w:val="both"/>
      </w:pPr>
      <w:r w:rsidRPr="00C23AFC">
        <w:t>A estrutura de governança compreende adequado gerenciamento do risco ASG.</w:t>
      </w:r>
    </w:p>
    <w:p w14:paraId="4A696118" w14:textId="77777777" w:rsidR="00E159C1" w:rsidRDefault="00C23AFC" w:rsidP="001F0918">
      <w:pPr>
        <w:jc w:val="both"/>
      </w:pPr>
      <w:r w:rsidRPr="00C23AFC">
        <w:t xml:space="preserve">Os processos de investimento ASG são realizados pela área de gestão, com suporte da área de </w:t>
      </w:r>
      <w:proofErr w:type="spellStart"/>
      <w:r w:rsidRPr="00C23AFC">
        <w:t>Compliance</w:t>
      </w:r>
      <w:proofErr w:type="spellEnd"/>
      <w:r w:rsidRPr="00C23AFC">
        <w:t xml:space="preserve">, cabendo ao CIO a decisão sobre a alocação de recursos, observados os termos e condições dos regulamentos dos fundos. Compete à área de </w:t>
      </w:r>
      <w:proofErr w:type="spellStart"/>
      <w:r w:rsidRPr="00C23AFC">
        <w:t>Compliance</w:t>
      </w:r>
      <w:proofErr w:type="spellEnd"/>
      <w:r w:rsidRPr="00C23AFC">
        <w:t xml:space="preserve"> verificar se as decisões de investimento adotadas pelo CIO estão sendo realizadas de acordo com a presente Política. Verificadas eventuais falhas, o Diretor de </w:t>
      </w:r>
      <w:proofErr w:type="spellStart"/>
      <w:r w:rsidRPr="00C23AFC">
        <w:t>Compliance</w:t>
      </w:r>
      <w:proofErr w:type="spellEnd"/>
      <w:r w:rsidRPr="00C23AFC">
        <w:t xml:space="preserve"> encaminhará a questão para apreciação e deliberação pelo Comitê de Risco e </w:t>
      </w:r>
      <w:proofErr w:type="spellStart"/>
      <w:r w:rsidRPr="00C23AFC">
        <w:t>Compliance</w:t>
      </w:r>
      <w:proofErr w:type="spellEnd"/>
      <w:r w:rsidRPr="00C23AFC">
        <w:t xml:space="preserve">. </w:t>
      </w:r>
    </w:p>
    <w:p w14:paraId="7836E011" w14:textId="77777777" w:rsidR="00E159C1" w:rsidRDefault="00C23AFC" w:rsidP="001F0918">
      <w:pPr>
        <w:jc w:val="both"/>
      </w:pPr>
      <w:r w:rsidRPr="00C23AFC">
        <w:t xml:space="preserve">REVISÃO E ATUALIZAÇÃO </w:t>
      </w:r>
    </w:p>
    <w:p w14:paraId="536621E1" w14:textId="6C3EF285" w:rsidR="00EB7C26" w:rsidRDefault="00C23AFC" w:rsidP="001F0918">
      <w:pPr>
        <w:jc w:val="both"/>
      </w:pPr>
      <w:r w:rsidRPr="00C23AFC">
        <w:t>A presente Política será revisada anualmente ou, se necessário, em virtude de alterações legais ou normativas, em menor periodicidade.</w:t>
      </w:r>
    </w:p>
    <w:p w14:paraId="09AB47E4" w14:textId="2A47A339" w:rsidR="00AF5E71" w:rsidRPr="00AF5E71" w:rsidRDefault="00AF5E71" w:rsidP="00AF5E71">
      <w:pPr>
        <w:jc w:val="center"/>
        <w:rPr>
          <w:b/>
          <w:bCs/>
        </w:rPr>
      </w:pPr>
      <w:r w:rsidRPr="00AF5E71">
        <w:rPr>
          <w:b/>
          <w:bCs/>
        </w:rPr>
        <w:t>Brado Capital</w:t>
      </w:r>
    </w:p>
    <w:sectPr w:rsidR="00AF5E71" w:rsidRPr="00AF5E7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0F56" w14:textId="77777777" w:rsidR="00E1006E" w:rsidRDefault="00E1006E" w:rsidP="00096985">
      <w:pPr>
        <w:spacing w:after="0" w:line="240" w:lineRule="auto"/>
      </w:pPr>
      <w:r>
        <w:separator/>
      </w:r>
    </w:p>
  </w:endnote>
  <w:endnote w:type="continuationSeparator" w:id="0">
    <w:p w14:paraId="47F91346" w14:textId="77777777" w:rsidR="00E1006E" w:rsidRDefault="00E1006E" w:rsidP="0009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521C" w14:textId="77777777" w:rsidR="00A1795D" w:rsidRDefault="00A179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DA86" w14:textId="77777777" w:rsidR="00096985" w:rsidRPr="00352A9B" w:rsidRDefault="00096985" w:rsidP="00096985">
    <w:pPr>
      <w:pStyle w:val="Rodap"/>
      <w:ind w:left="-567"/>
      <w:rPr>
        <w:sz w:val="20"/>
        <w:szCs w:val="20"/>
      </w:rPr>
    </w:pPr>
    <w:r w:rsidRPr="00352A9B">
      <w:rPr>
        <w:color w:val="7E7E7E"/>
        <w:sz w:val="20"/>
        <w:szCs w:val="20"/>
      </w:rPr>
      <w:t xml:space="preserve">Rua Pedroso Alvarenga, 691, 10º andar, </w:t>
    </w:r>
    <w:proofErr w:type="spellStart"/>
    <w:r w:rsidRPr="00352A9B">
      <w:rPr>
        <w:color w:val="7E7E7E"/>
        <w:spacing w:val="2"/>
        <w:sz w:val="20"/>
        <w:szCs w:val="20"/>
      </w:rPr>
      <w:t>c</w:t>
    </w:r>
    <w:r w:rsidRPr="00352A9B">
      <w:rPr>
        <w:color w:val="7E7E7E"/>
        <w:spacing w:val="-1"/>
        <w:sz w:val="20"/>
        <w:szCs w:val="20"/>
      </w:rPr>
      <w:t>on</w:t>
    </w:r>
    <w:r w:rsidRPr="00352A9B">
      <w:rPr>
        <w:color w:val="7E7E7E"/>
        <w:sz w:val="20"/>
        <w:szCs w:val="20"/>
      </w:rPr>
      <w:t>j</w:t>
    </w:r>
    <w:proofErr w:type="spellEnd"/>
    <w:r w:rsidRPr="00352A9B">
      <w:rPr>
        <w:color w:val="7E7E7E"/>
        <w:spacing w:val="1"/>
        <w:sz w:val="20"/>
        <w:szCs w:val="20"/>
      </w:rPr>
      <w:t xml:space="preserve"> </w:t>
    </w:r>
    <w:r w:rsidRPr="00352A9B">
      <w:rPr>
        <w:color w:val="7E7E7E"/>
        <w:spacing w:val="-1"/>
        <w:sz w:val="20"/>
        <w:szCs w:val="20"/>
      </w:rPr>
      <w:t>1</w:t>
    </w:r>
    <w:r w:rsidRPr="00352A9B">
      <w:rPr>
        <w:color w:val="7E7E7E"/>
        <w:spacing w:val="1"/>
        <w:sz w:val="20"/>
        <w:szCs w:val="20"/>
      </w:rPr>
      <w:t>007</w:t>
    </w:r>
    <w:r w:rsidRPr="00352A9B">
      <w:rPr>
        <w:color w:val="7E7E7E"/>
        <w:sz w:val="20"/>
        <w:szCs w:val="20"/>
      </w:rPr>
      <w:t>,</w:t>
    </w:r>
    <w:r w:rsidRPr="00352A9B">
      <w:rPr>
        <w:color w:val="7E7E7E"/>
        <w:spacing w:val="1"/>
        <w:sz w:val="20"/>
        <w:szCs w:val="20"/>
      </w:rPr>
      <w:t xml:space="preserve"> </w:t>
    </w:r>
    <w:r w:rsidRPr="00352A9B">
      <w:rPr>
        <w:color w:val="7E7E7E"/>
        <w:spacing w:val="-3"/>
        <w:sz w:val="20"/>
        <w:szCs w:val="20"/>
      </w:rPr>
      <w:t>S</w:t>
    </w:r>
    <w:r w:rsidRPr="00352A9B">
      <w:rPr>
        <w:color w:val="7E7E7E"/>
        <w:sz w:val="20"/>
        <w:szCs w:val="20"/>
      </w:rPr>
      <w:t>ão</w:t>
    </w:r>
    <w:r w:rsidRPr="00352A9B">
      <w:rPr>
        <w:color w:val="7E7E7E"/>
        <w:spacing w:val="1"/>
        <w:sz w:val="20"/>
        <w:szCs w:val="20"/>
      </w:rPr>
      <w:t xml:space="preserve"> </w:t>
    </w:r>
    <w:r w:rsidRPr="00352A9B">
      <w:rPr>
        <w:color w:val="7E7E7E"/>
        <w:sz w:val="20"/>
        <w:szCs w:val="20"/>
      </w:rPr>
      <w:t>P</w:t>
    </w:r>
    <w:r w:rsidRPr="00352A9B">
      <w:rPr>
        <w:color w:val="7E7E7E"/>
        <w:spacing w:val="-2"/>
        <w:sz w:val="20"/>
        <w:szCs w:val="20"/>
      </w:rPr>
      <w:t>a</w:t>
    </w:r>
    <w:r w:rsidRPr="00352A9B">
      <w:rPr>
        <w:color w:val="7E7E7E"/>
        <w:spacing w:val="1"/>
        <w:sz w:val="20"/>
        <w:szCs w:val="20"/>
      </w:rPr>
      <w:t>u</w:t>
    </w:r>
    <w:r w:rsidRPr="00352A9B">
      <w:rPr>
        <w:color w:val="7E7E7E"/>
        <w:spacing w:val="-1"/>
        <w:sz w:val="20"/>
        <w:szCs w:val="20"/>
      </w:rPr>
      <w:t>lo</w:t>
    </w:r>
    <w:r w:rsidRPr="00352A9B">
      <w:rPr>
        <w:color w:val="7E7E7E"/>
        <w:sz w:val="20"/>
        <w:szCs w:val="20"/>
      </w:rPr>
      <w:t>,</w:t>
    </w:r>
    <w:r w:rsidRPr="00352A9B">
      <w:rPr>
        <w:color w:val="7E7E7E"/>
        <w:spacing w:val="2"/>
        <w:sz w:val="20"/>
        <w:szCs w:val="20"/>
      </w:rPr>
      <w:t xml:space="preserve"> </w:t>
    </w:r>
    <w:r w:rsidRPr="00352A9B">
      <w:rPr>
        <w:color w:val="7E7E7E"/>
        <w:sz w:val="20"/>
        <w:szCs w:val="20"/>
      </w:rPr>
      <w:t>SP,</w:t>
    </w:r>
    <w:r w:rsidRPr="00352A9B">
      <w:rPr>
        <w:color w:val="7E7E7E"/>
        <w:spacing w:val="-1"/>
        <w:sz w:val="20"/>
        <w:szCs w:val="20"/>
      </w:rPr>
      <w:t xml:space="preserve"> </w:t>
    </w:r>
    <w:r w:rsidRPr="00352A9B">
      <w:rPr>
        <w:color w:val="7E7E7E"/>
        <w:spacing w:val="1"/>
        <w:sz w:val="20"/>
        <w:szCs w:val="20"/>
      </w:rPr>
      <w:t>04531</w:t>
    </w:r>
    <w:r w:rsidRPr="00352A9B">
      <w:rPr>
        <w:color w:val="7E7E7E"/>
        <w:spacing w:val="-2"/>
        <w:sz w:val="20"/>
        <w:szCs w:val="20"/>
      </w:rPr>
      <w:t>-</w:t>
    </w:r>
    <w:r w:rsidRPr="00352A9B">
      <w:rPr>
        <w:color w:val="7E7E7E"/>
        <w:spacing w:val="1"/>
        <w:sz w:val="20"/>
        <w:szCs w:val="20"/>
      </w:rPr>
      <w:t>011</w:t>
    </w:r>
    <w:r w:rsidRPr="00352A9B">
      <w:rPr>
        <w:color w:val="7E7E7E"/>
        <w:sz w:val="20"/>
        <w:szCs w:val="20"/>
      </w:rPr>
      <w:t>,</w:t>
    </w:r>
    <w:r w:rsidRPr="00352A9B">
      <w:rPr>
        <w:color w:val="7E7E7E"/>
        <w:spacing w:val="-1"/>
        <w:sz w:val="20"/>
        <w:szCs w:val="20"/>
      </w:rPr>
      <w:t xml:space="preserve"> </w:t>
    </w:r>
    <w:r w:rsidRPr="00352A9B">
      <w:rPr>
        <w:color w:val="7E7E7E"/>
        <w:spacing w:val="2"/>
        <w:sz w:val="20"/>
        <w:szCs w:val="20"/>
      </w:rPr>
      <w:t>B</w:t>
    </w:r>
    <w:r w:rsidRPr="00352A9B">
      <w:rPr>
        <w:color w:val="7E7E7E"/>
        <w:spacing w:val="-2"/>
        <w:sz w:val="20"/>
        <w:szCs w:val="20"/>
      </w:rPr>
      <w:t>r</w:t>
    </w:r>
    <w:r w:rsidRPr="00352A9B">
      <w:rPr>
        <w:color w:val="7E7E7E"/>
        <w:sz w:val="20"/>
        <w:szCs w:val="20"/>
      </w:rPr>
      <w:t>a</w:t>
    </w:r>
    <w:r w:rsidRPr="00352A9B">
      <w:rPr>
        <w:color w:val="7E7E7E"/>
        <w:spacing w:val="-1"/>
        <w:sz w:val="20"/>
        <w:szCs w:val="20"/>
      </w:rPr>
      <w:t>s</w:t>
    </w:r>
    <w:r w:rsidRPr="00352A9B">
      <w:rPr>
        <w:color w:val="7E7E7E"/>
        <w:spacing w:val="1"/>
        <w:sz w:val="20"/>
        <w:szCs w:val="20"/>
      </w:rPr>
      <w:t>i</w:t>
    </w:r>
    <w:r w:rsidRPr="00352A9B">
      <w:rPr>
        <w:color w:val="7E7E7E"/>
        <w:spacing w:val="-1"/>
        <w:sz w:val="20"/>
        <w:szCs w:val="20"/>
      </w:rPr>
      <w:t>l</w:t>
    </w:r>
    <w:r w:rsidRPr="00352A9B">
      <w:rPr>
        <w:color w:val="7E7E7E"/>
        <w:sz w:val="20"/>
        <w:szCs w:val="20"/>
      </w:rPr>
      <w:t>,</w:t>
    </w:r>
    <w:r w:rsidRPr="00352A9B">
      <w:rPr>
        <w:color w:val="7E7E7E"/>
        <w:spacing w:val="1"/>
        <w:sz w:val="20"/>
        <w:szCs w:val="20"/>
      </w:rPr>
      <w:t xml:space="preserve"> </w:t>
    </w:r>
    <w:proofErr w:type="spellStart"/>
    <w:r w:rsidRPr="00352A9B">
      <w:rPr>
        <w:color w:val="7E7E7E"/>
        <w:spacing w:val="-1"/>
        <w:sz w:val="20"/>
        <w:szCs w:val="20"/>
      </w:rPr>
      <w:t>t</w:t>
    </w:r>
    <w:r w:rsidRPr="00352A9B">
      <w:rPr>
        <w:color w:val="7E7E7E"/>
        <w:sz w:val="20"/>
        <w:szCs w:val="20"/>
      </w:rPr>
      <w:t>e</w:t>
    </w:r>
    <w:r w:rsidRPr="00352A9B">
      <w:rPr>
        <w:color w:val="7E7E7E"/>
        <w:spacing w:val="-1"/>
        <w:sz w:val="20"/>
        <w:szCs w:val="20"/>
      </w:rPr>
      <w:t>l</w:t>
    </w:r>
    <w:proofErr w:type="spellEnd"/>
    <w:r w:rsidRPr="00352A9B">
      <w:rPr>
        <w:color w:val="7E7E7E"/>
        <w:sz w:val="20"/>
        <w:szCs w:val="20"/>
      </w:rPr>
      <w:t>:</w:t>
    </w:r>
    <w:r w:rsidRPr="00352A9B">
      <w:rPr>
        <w:color w:val="7E7E7E"/>
        <w:spacing w:val="2"/>
        <w:sz w:val="20"/>
        <w:szCs w:val="20"/>
      </w:rPr>
      <w:t xml:space="preserve"> </w:t>
    </w:r>
    <w:r w:rsidRPr="00352A9B">
      <w:rPr>
        <w:color w:val="7E7E7E"/>
        <w:spacing w:val="1"/>
        <w:sz w:val="20"/>
        <w:szCs w:val="20"/>
      </w:rPr>
      <w:t>+5</w:t>
    </w:r>
    <w:r w:rsidRPr="00352A9B">
      <w:rPr>
        <w:color w:val="7E7E7E"/>
        <w:sz w:val="20"/>
        <w:szCs w:val="20"/>
      </w:rPr>
      <w:t>5</w:t>
    </w:r>
    <w:r w:rsidRPr="00352A9B">
      <w:rPr>
        <w:color w:val="7E7E7E"/>
        <w:spacing w:val="1"/>
        <w:sz w:val="20"/>
        <w:szCs w:val="20"/>
      </w:rPr>
      <w:t xml:space="preserve"> </w:t>
    </w:r>
    <w:r w:rsidRPr="00352A9B">
      <w:rPr>
        <w:color w:val="7E7E7E"/>
        <w:spacing w:val="-1"/>
        <w:sz w:val="20"/>
        <w:szCs w:val="20"/>
      </w:rPr>
      <w:t>1</w:t>
    </w:r>
    <w:r w:rsidRPr="00352A9B">
      <w:rPr>
        <w:color w:val="7E7E7E"/>
        <w:sz w:val="20"/>
        <w:szCs w:val="20"/>
      </w:rPr>
      <w:t xml:space="preserve">1 </w:t>
    </w:r>
    <w:r w:rsidRPr="00352A9B">
      <w:rPr>
        <w:color w:val="7E7E7E"/>
        <w:spacing w:val="-1"/>
        <w:sz w:val="20"/>
        <w:szCs w:val="20"/>
      </w:rPr>
      <w:t>3</w:t>
    </w:r>
    <w:r w:rsidRPr="00352A9B">
      <w:rPr>
        <w:color w:val="7E7E7E"/>
        <w:spacing w:val="1"/>
        <w:sz w:val="20"/>
        <w:szCs w:val="20"/>
      </w:rPr>
      <w:t>0</w:t>
    </w:r>
    <w:r w:rsidRPr="00352A9B">
      <w:rPr>
        <w:color w:val="7E7E7E"/>
        <w:spacing w:val="-1"/>
        <w:sz w:val="20"/>
        <w:szCs w:val="20"/>
      </w:rPr>
      <w:t>7</w:t>
    </w:r>
    <w:r w:rsidRPr="00352A9B">
      <w:rPr>
        <w:color w:val="7E7E7E"/>
        <w:spacing w:val="1"/>
        <w:sz w:val="20"/>
        <w:szCs w:val="20"/>
      </w:rPr>
      <w:t>8</w:t>
    </w:r>
    <w:r w:rsidRPr="00352A9B">
      <w:rPr>
        <w:color w:val="7E7E7E"/>
        <w:spacing w:val="-2"/>
        <w:sz w:val="20"/>
        <w:szCs w:val="20"/>
      </w:rPr>
      <w:t>-</w:t>
    </w:r>
    <w:r w:rsidRPr="00352A9B">
      <w:rPr>
        <w:color w:val="7E7E7E"/>
        <w:spacing w:val="1"/>
        <w:sz w:val="20"/>
        <w:szCs w:val="20"/>
      </w:rPr>
      <w:t>3</w:t>
    </w:r>
    <w:r w:rsidRPr="00352A9B">
      <w:rPr>
        <w:color w:val="7E7E7E"/>
        <w:spacing w:val="-1"/>
        <w:sz w:val="20"/>
        <w:szCs w:val="20"/>
      </w:rPr>
      <w:t>76</w:t>
    </w:r>
    <w:r w:rsidRPr="00352A9B">
      <w:rPr>
        <w:color w:val="7E7E7E"/>
        <w:spacing w:val="1"/>
        <w:sz w:val="20"/>
        <w:szCs w:val="20"/>
      </w:rPr>
      <w:t>7</w:t>
    </w:r>
  </w:p>
  <w:p w14:paraId="0B670C75" w14:textId="77777777" w:rsidR="00096985" w:rsidRDefault="0009698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4AC4" w14:textId="77777777" w:rsidR="00A1795D" w:rsidRDefault="00A179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BBB6" w14:textId="77777777" w:rsidR="00E1006E" w:rsidRDefault="00E1006E" w:rsidP="00096985">
      <w:pPr>
        <w:spacing w:after="0" w:line="240" w:lineRule="auto"/>
      </w:pPr>
      <w:r>
        <w:separator/>
      </w:r>
    </w:p>
  </w:footnote>
  <w:footnote w:type="continuationSeparator" w:id="0">
    <w:p w14:paraId="0CD43755" w14:textId="77777777" w:rsidR="00E1006E" w:rsidRDefault="00E1006E" w:rsidP="00096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B7CE" w14:textId="77777777" w:rsidR="00A1795D" w:rsidRDefault="00A179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4D4A" w14:textId="41FC7CCA" w:rsidR="00096985" w:rsidRDefault="00096985">
    <w:pPr>
      <w:pStyle w:val="Cabealho"/>
    </w:pPr>
    <w:r>
      <w:rPr>
        <w:noProof/>
        <w:lang w:eastAsia="pt-BR"/>
      </w:rPr>
      <w:drawing>
        <wp:inline distT="0" distB="0" distL="0" distR="0" wp14:anchorId="0E4C2A70" wp14:editId="2E6C188B">
          <wp:extent cx="5400040" cy="734087"/>
          <wp:effectExtent l="0" t="0" r="0" b="8890"/>
          <wp:docPr id="1" name="Imagem 1" descr="papel carta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carta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3408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78C3" w14:textId="77777777" w:rsidR="00A1795D" w:rsidRDefault="00A179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9DB"/>
    <w:multiLevelType w:val="hybridMultilevel"/>
    <w:tmpl w:val="6D782B1A"/>
    <w:lvl w:ilvl="0" w:tplc="79CE2F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8419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55EC"/>
    <w:rsid w:val="00040DA2"/>
    <w:rsid w:val="00096985"/>
    <w:rsid w:val="000D3BE5"/>
    <w:rsid w:val="001F0918"/>
    <w:rsid w:val="002075DB"/>
    <w:rsid w:val="00292CF4"/>
    <w:rsid w:val="002A4D90"/>
    <w:rsid w:val="002F608D"/>
    <w:rsid w:val="00357599"/>
    <w:rsid w:val="003657DF"/>
    <w:rsid w:val="004020A8"/>
    <w:rsid w:val="004455EC"/>
    <w:rsid w:val="00576905"/>
    <w:rsid w:val="006D58EC"/>
    <w:rsid w:val="00704CC4"/>
    <w:rsid w:val="007053FE"/>
    <w:rsid w:val="00745EB6"/>
    <w:rsid w:val="00754FC1"/>
    <w:rsid w:val="007A7EDF"/>
    <w:rsid w:val="007C34BD"/>
    <w:rsid w:val="00977C24"/>
    <w:rsid w:val="00A1795D"/>
    <w:rsid w:val="00A67816"/>
    <w:rsid w:val="00A9757B"/>
    <w:rsid w:val="00AF5E71"/>
    <w:rsid w:val="00C23AFC"/>
    <w:rsid w:val="00CB248D"/>
    <w:rsid w:val="00E1006E"/>
    <w:rsid w:val="00E159C1"/>
    <w:rsid w:val="00EB7C26"/>
    <w:rsid w:val="00EC032E"/>
    <w:rsid w:val="00F3416A"/>
    <w:rsid w:val="00F80A1E"/>
    <w:rsid w:val="00F853D0"/>
    <w:rsid w:val="00F93E31"/>
    <w:rsid w:val="00FD26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83D2"/>
  <w15:docId w15:val="{5D6F0909-DEA2-4B28-9003-75E3E3AF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69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6985"/>
  </w:style>
  <w:style w:type="paragraph" w:styleId="Rodap">
    <w:name w:val="footer"/>
    <w:basedOn w:val="Normal"/>
    <w:link w:val="RodapChar"/>
    <w:uiPriority w:val="99"/>
    <w:unhideWhenUsed/>
    <w:rsid w:val="00096985"/>
    <w:pPr>
      <w:tabs>
        <w:tab w:val="center" w:pos="4252"/>
        <w:tab w:val="right" w:pos="8504"/>
      </w:tabs>
      <w:spacing w:after="0" w:line="240" w:lineRule="auto"/>
    </w:pPr>
  </w:style>
  <w:style w:type="character" w:customStyle="1" w:styleId="RodapChar">
    <w:name w:val="Rodapé Char"/>
    <w:basedOn w:val="Fontepargpadro"/>
    <w:link w:val="Rodap"/>
    <w:uiPriority w:val="99"/>
    <w:rsid w:val="00096985"/>
  </w:style>
  <w:style w:type="paragraph" w:styleId="PargrafodaLista">
    <w:name w:val="List Paragraph"/>
    <w:basedOn w:val="Normal"/>
    <w:uiPriority w:val="34"/>
    <w:qFormat/>
    <w:rsid w:val="001F0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Three DI</dc:creator>
  <cp:keywords/>
  <dc:description/>
  <cp:lastModifiedBy>Three DI</cp:lastModifiedBy>
  <cp:revision>2</cp:revision>
  <dcterms:created xsi:type="dcterms:W3CDTF">2022-06-19T18:54:00Z</dcterms:created>
  <dcterms:modified xsi:type="dcterms:W3CDTF">2022-06-19T18:54:00Z</dcterms:modified>
</cp:coreProperties>
</file>