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F194" w14:textId="77777777" w:rsidR="00096985" w:rsidRDefault="00096985" w:rsidP="004455EC">
      <w:pPr>
        <w:jc w:val="both"/>
      </w:pPr>
    </w:p>
    <w:p w14:paraId="6B5791B8" w14:textId="31F80D03" w:rsidR="004455EC" w:rsidRPr="00096985" w:rsidRDefault="00940FA3" w:rsidP="004455EC">
      <w:pPr>
        <w:jc w:val="both"/>
        <w:rPr>
          <w:b/>
          <w:bCs/>
        </w:rPr>
      </w:pPr>
      <w:r>
        <w:rPr>
          <w:b/>
          <w:bCs/>
        </w:rPr>
        <w:t>Política de Certificação dos Profissionais</w:t>
      </w:r>
    </w:p>
    <w:p w14:paraId="1BCAB9C4" w14:textId="6F71B2DE" w:rsidR="004455EC" w:rsidRDefault="004455EC" w:rsidP="004455EC">
      <w:pPr>
        <w:jc w:val="both"/>
      </w:pPr>
      <w:r>
        <w:t>Data de Publicação</w:t>
      </w:r>
      <w:r w:rsidR="00096985">
        <w:t xml:space="preserve"> </w:t>
      </w:r>
      <w:r w:rsidR="00940FA3">
        <w:t>08</w:t>
      </w:r>
      <w:r w:rsidR="00040DA2">
        <w:t>/</w:t>
      </w:r>
      <w:r w:rsidR="00F93E31">
        <w:t>11</w:t>
      </w:r>
      <w:r w:rsidR="00040DA2">
        <w:t>/2021</w:t>
      </w:r>
    </w:p>
    <w:p w14:paraId="3E683287" w14:textId="77ED9218" w:rsidR="004455EC" w:rsidRDefault="004455EC" w:rsidP="004455EC">
      <w:pPr>
        <w:jc w:val="both"/>
      </w:pPr>
      <w:r>
        <w:t>Tipo</w:t>
      </w:r>
      <w:r w:rsidR="00096985">
        <w:t xml:space="preserve"> </w:t>
      </w:r>
      <w:r w:rsidR="00C23AFC">
        <w:t>POLÍTICA</w:t>
      </w:r>
    </w:p>
    <w:p w14:paraId="7119CE83" w14:textId="1E084A26" w:rsidR="004455EC" w:rsidRDefault="004455EC" w:rsidP="004455EC">
      <w:pPr>
        <w:jc w:val="both"/>
      </w:pPr>
      <w:r>
        <w:t>Abrangência</w:t>
      </w:r>
      <w:r w:rsidR="00096985">
        <w:t xml:space="preserve"> </w:t>
      </w:r>
      <w:r w:rsidR="00F93E31">
        <w:t>Departamentos</w:t>
      </w:r>
    </w:p>
    <w:p w14:paraId="06146CDB" w14:textId="77777777" w:rsidR="004455EC" w:rsidRDefault="004455EC" w:rsidP="004455EC">
      <w:pPr>
        <w:jc w:val="both"/>
      </w:pPr>
      <w:r>
        <w:t>Descrição</w:t>
      </w:r>
    </w:p>
    <w:p w14:paraId="1D6336F3" w14:textId="0D381669" w:rsidR="00940FA3" w:rsidRDefault="00940FA3" w:rsidP="00EB7C26">
      <w:pPr>
        <w:jc w:val="both"/>
      </w:pPr>
      <w:r w:rsidRPr="00940FA3">
        <w:t>O presente documento tem por objetivo formalizar a Política de Certificação dos Profissionais</w:t>
      </w:r>
      <w:r>
        <w:t xml:space="preserve">, </w:t>
      </w:r>
      <w:r w:rsidRPr="00940FA3">
        <w:t xml:space="preserve">a qual busca assegurar a devida certificação dos colaboradores da Sociedade nos termos do Código ANBIMA de Regulação e Melhores Práticas para o Programa de Certificação Continuada.  </w:t>
      </w:r>
    </w:p>
    <w:p w14:paraId="6F1AC172" w14:textId="0EC92441" w:rsidR="00A9757B" w:rsidRDefault="00940FA3" w:rsidP="00EB7C26">
      <w:pPr>
        <w:jc w:val="both"/>
      </w:pPr>
      <w:r>
        <w:t>METODOLOGIA</w:t>
      </w:r>
    </w:p>
    <w:p w14:paraId="16C3C745" w14:textId="77777777" w:rsidR="00940FA3" w:rsidRDefault="00940FA3" w:rsidP="001F0918">
      <w:pPr>
        <w:jc w:val="both"/>
      </w:pPr>
      <w:r w:rsidRPr="00940FA3">
        <w:t xml:space="preserve">A equipe de gestão profissional da Sociedade poderá ser composta por colaboradores que possuam ou não a certificação profissional ANBIMA para Gestores de Recursos de Terceiros (“CGA”), observando as seguintes regras:  </w:t>
      </w:r>
    </w:p>
    <w:p w14:paraId="2EB338C5" w14:textId="064826DB" w:rsidR="00940FA3" w:rsidRDefault="00940FA3" w:rsidP="00940FA3">
      <w:pPr>
        <w:pStyle w:val="PargrafodaLista"/>
        <w:numPr>
          <w:ilvl w:val="0"/>
          <w:numId w:val="4"/>
        </w:numPr>
        <w:jc w:val="both"/>
      </w:pPr>
      <w:r w:rsidRPr="00940FA3">
        <w:t xml:space="preserve">Todos os colaboradores que tenham sido designados como membros da equipe de gestão profissional de recursos de terceiros, com alçada/poder discricionário de investimento de ativos financeiros (compra e venda) integrantes das carteiras dos veículos de investimento geridos, devem obrigatoriamente, deter a certificação profissional para Gestores de Recursos de Terceiros - “CGA” ou a isenção </w:t>
      </w:r>
      <w:r w:rsidRPr="00940FA3">
        <w:t>dela</w:t>
      </w:r>
      <w:r w:rsidRPr="00940FA3">
        <w:t>, desde que devidamente atestada pela ANBIMA.</w:t>
      </w:r>
    </w:p>
    <w:p w14:paraId="46F869BD" w14:textId="1023B94C" w:rsidR="00940FA3" w:rsidRDefault="00940FA3" w:rsidP="00940FA3">
      <w:pPr>
        <w:pStyle w:val="PargrafodaLista"/>
        <w:numPr>
          <w:ilvl w:val="0"/>
          <w:numId w:val="4"/>
        </w:numPr>
        <w:jc w:val="both"/>
      </w:pPr>
      <w:r w:rsidRPr="00940FA3">
        <w:t xml:space="preserve">Todos os colaboradores que não possuam o CGA poderão atuar, exclusivamente, no sentido de municiar o Gestor e/ou a equipe de Gestão com a análise de ativos financeiros.   </w:t>
      </w:r>
    </w:p>
    <w:p w14:paraId="79D87D29" w14:textId="4D5C0B4D" w:rsidR="00940FA3" w:rsidRDefault="00940FA3" w:rsidP="00940FA3">
      <w:pPr>
        <w:pStyle w:val="PargrafodaLista"/>
        <w:numPr>
          <w:ilvl w:val="0"/>
          <w:numId w:val="4"/>
        </w:numPr>
        <w:jc w:val="both"/>
      </w:pPr>
      <w:r w:rsidRPr="00940FA3">
        <w:t xml:space="preserve">Na hipótese </w:t>
      </w:r>
      <w:r w:rsidRPr="00940FA3">
        <w:t>de a</w:t>
      </w:r>
      <w:r w:rsidRPr="00940FA3">
        <w:t xml:space="preserve"> Sociedade entender que um profissional está apto a realizar a gestão profissional com alçada/poder discricionário de investimento,</w:t>
      </w:r>
      <w:r>
        <w:t xml:space="preserve"> </w:t>
      </w:r>
      <w:r w:rsidRPr="00940FA3">
        <w:t>este só poderá exercer tal função após realizar as provas de certificação</w:t>
      </w:r>
      <w:r>
        <w:t>.</w:t>
      </w:r>
    </w:p>
    <w:p w14:paraId="367DE423" w14:textId="77777777" w:rsidR="00940FA3" w:rsidRDefault="00940FA3" w:rsidP="00940FA3">
      <w:pPr>
        <w:pStyle w:val="PargrafodaLista"/>
        <w:numPr>
          <w:ilvl w:val="0"/>
          <w:numId w:val="4"/>
        </w:numPr>
        <w:jc w:val="both"/>
      </w:pPr>
      <w:r w:rsidRPr="00940FA3">
        <w:t xml:space="preserve">A sociedade desde já, se compromete expressamente, a não contratar nenhum profissional externo ou promover nenhum funcionário para exercer funções ligadas a gestão profissional de recursos de terceiros, com alçada/poder discricionário, que não detenham a certificação profissional - “CGA” ou a isenção </w:t>
      </w:r>
      <w:r w:rsidRPr="00940FA3">
        <w:t>dela</w:t>
      </w:r>
      <w:r w:rsidRPr="00940FA3">
        <w:t xml:space="preserve">, devidamente atestada pela ANBIMA e com validade vigente. </w:t>
      </w:r>
    </w:p>
    <w:p w14:paraId="48A727E6" w14:textId="77777777" w:rsidR="00AB37AD" w:rsidRDefault="00AB37AD" w:rsidP="00AB37AD">
      <w:r w:rsidRPr="00AB37AD">
        <w:t>DO MONITORAMENTO</w:t>
      </w:r>
    </w:p>
    <w:p w14:paraId="66D96B68" w14:textId="77777777" w:rsidR="00AB37AD" w:rsidRDefault="00AB37AD" w:rsidP="00AB37AD">
      <w:pPr>
        <w:jc w:val="both"/>
      </w:pPr>
      <w:r w:rsidRPr="00AB37AD">
        <w:t xml:space="preserve">Compete à equipe de </w:t>
      </w:r>
      <w:proofErr w:type="spellStart"/>
      <w:r w:rsidRPr="00AB37AD">
        <w:t>Compliance</w:t>
      </w:r>
      <w:proofErr w:type="spellEnd"/>
      <w:r w:rsidRPr="00AB37AD">
        <w:t xml:space="preserve"> o acompanhamento periódico quanto à validade das</w:t>
      </w:r>
      <w:r>
        <w:t xml:space="preserve"> </w:t>
      </w:r>
      <w:r w:rsidRPr="00AB37AD">
        <w:t>certificações dos membros da equipe de gestão que possuírem alçada/poder discricionário de investimento.</w:t>
      </w:r>
      <w:r>
        <w:t xml:space="preserve"> </w:t>
      </w:r>
      <w:r w:rsidRPr="00AB37AD">
        <w:t xml:space="preserve">Na hipótese de se verificar, que determinado profissional com alçada/poder discricionário de investimento está sem a devida certificação ou com a certificação vencida, tal fato deve ser diretamente comunicado ao Gestor da Sociedade, que deverá afastar imediatamente o profissional de suas funções. O retorno do referido funcionário às suas atribuições só será permitido mediante a apresentação da renovação/obtenção da certificação </w:t>
      </w:r>
      <w:r w:rsidRPr="00AB37AD">
        <w:lastRenderedPageBreak/>
        <w:t xml:space="preserve">atestada pela ANBIMA nos termos do Código de Regulação e Melhores Práticas para o Programa de Certificação Continuada. </w:t>
      </w:r>
    </w:p>
    <w:p w14:paraId="23F4776B" w14:textId="77777777" w:rsidR="00AB37AD" w:rsidRDefault="00AB37AD" w:rsidP="00AB37AD">
      <w:pPr>
        <w:jc w:val="both"/>
      </w:pPr>
      <w:r w:rsidRPr="00AB37AD">
        <w:t xml:space="preserve">DA MANUTENÇÃO DE ARQUIVOS E DOCUMENTOS </w:t>
      </w:r>
    </w:p>
    <w:p w14:paraId="5D15013A" w14:textId="77777777" w:rsidR="00AB37AD" w:rsidRDefault="00AB37AD" w:rsidP="00AB37AD">
      <w:pPr>
        <w:jc w:val="both"/>
      </w:pPr>
      <w:proofErr w:type="spellStart"/>
      <w:r w:rsidRPr="00AB37AD">
        <w:t>Compliance</w:t>
      </w:r>
      <w:proofErr w:type="spellEnd"/>
      <w:r w:rsidRPr="00AB37AD">
        <w:t xml:space="preserve"> deverá manter arquivadas, todas as documentações que: </w:t>
      </w:r>
    </w:p>
    <w:p w14:paraId="7EC198E3" w14:textId="77777777" w:rsidR="00AB37AD" w:rsidRDefault="00AB37AD" w:rsidP="00AB37AD">
      <w:pPr>
        <w:pStyle w:val="PargrafodaLista"/>
        <w:numPr>
          <w:ilvl w:val="0"/>
          <w:numId w:val="5"/>
        </w:numPr>
        <w:jc w:val="both"/>
      </w:pPr>
      <w:r w:rsidRPr="00AB37AD">
        <w:t xml:space="preserve">comprove a devida certificação dos membros da equipe, quando aplicável, e </w:t>
      </w:r>
    </w:p>
    <w:p w14:paraId="242A6864" w14:textId="77777777" w:rsidR="00AB37AD" w:rsidRDefault="00AB37AD" w:rsidP="00AB37AD">
      <w:pPr>
        <w:pStyle w:val="PargrafodaLista"/>
        <w:numPr>
          <w:ilvl w:val="0"/>
          <w:numId w:val="5"/>
        </w:numPr>
        <w:jc w:val="both"/>
      </w:pPr>
      <w:r w:rsidRPr="00AB37AD">
        <w:t>comprove o afastamento do membro da equipe de gestão quando vislumbrado a ausência de certificação conforme descrito na cláusula terceira, supra</w:t>
      </w:r>
    </w:p>
    <w:p w14:paraId="60F97573" w14:textId="77777777" w:rsidR="00AB37AD" w:rsidRDefault="00AB37AD" w:rsidP="00AB37AD">
      <w:pPr>
        <w:jc w:val="both"/>
      </w:pPr>
    </w:p>
    <w:p w14:paraId="09AB47E4" w14:textId="09F39721" w:rsidR="00AF5E71" w:rsidRPr="00AB37AD" w:rsidRDefault="00AF5E71" w:rsidP="00AB37AD">
      <w:pPr>
        <w:jc w:val="center"/>
      </w:pPr>
      <w:r w:rsidRPr="00AF5E71">
        <w:rPr>
          <w:b/>
          <w:bCs/>
        </w:rPr>
        <w:t>Brado Capital</w:t>
      </w:r>
    </w:p>
    <w:sectPr w:rsidR="00AF5E71" w:rsidRPr="00AB3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0F56" w14:textId="77777777" w:rsidR="00E1006E" w:rsidRDefault="00E1006E" w:rsidP="00096985">
      <w:pPr>
        <w:spacing w:after="0" w:line="240" w:lineRule="auto"/>
      </w:pPr>
      <w:r>
        <w:separator/>
      </w:r>
    </w:p>
  </w:endnote>
  <w:endnote w:type="continuationSeparator" w:id="0">
    <w:p w14:paraId="47F91346" w14:textId="77777777" w:rsidR="00E1006E" w:rsidRDefault="00E1006E" w:rsidP="0009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21C" w14:textId="77777777" w:rsidR="00A1795D" w:rsidRDefault="00A179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DA86" w14:textId="77777777" w:rsidR="00096985" w:rsidRPr="00352A9B" w:rsidRDefault="00096985" w:rsidP="00096985">
    <w:pPr>
      <w:pStyle w:val="Rodap"/>
      <w:ind w:left="-567"/>
      <w:rPr>
        <w:sz w:val="20"/>
        <w:szCs w:val="20"/>
      </w:rPr>
    </w:pPr>
    <w:r w:rsidRPr="00352A9B">
      <w:rPr>
        <w:color w:val="7E7E7E"/>
        <w:sz w:val="20"/>
        <w:szCs w:val="20"/>
      </w:rPr>
      <w:t xml:space="preserve">Rua Pedroso Alvarenga, 691, 10º andar, </w:t>
    </w:r>
    <w:proofErr w:type="spellStart"/>
    <w:r w:rsidRPr="00352A9B">
      <w:rPr>
        <w:color w:val="7E7E7E"/>
        <w:spacing w:val="2"/>
        <w:sz w:val="20"/>
        <w:szCs w:val="20"/>
      </w:rPr>
      <w:t>c</w:t>
    </w:r>
    <w:r w:rsidRPr="00352A9B">
      <w:rPr>
        <w:color w:val="7E7E7E"/>
        <w:spacing w:val="-1"/>
        <w:sz w:val="20"/>
        <w:szCs w:val="20"/>
      </w:rPr>
      <w:t>on</w:t>
    </w:r>
    <w:r w:rsidRPr="00352A9B">
      <w:rPr>
        <w:color w:val="7E7E7E"/>
        <w:sz w:val="20"/>
        <w:szCs w:val="20"/>
      </w:rPr>
      <w:t>j</w:t>
    </w:r>
    <w:proofErr w:type="spellEnd"/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1"/>
        <w:sz w:val="20"/>
        <w:szCs w:val="20"/>
      </w:rPr>
      <w:t>1</w:t>
    </w:r>
    <w:r w:rsidRPr="00352A9B">
      <w:rPr>
        <w:color w:val="7E7E7E"/>
        <w:spacing w:val="1"/>
        <w:sz w:val="20"/>
        <w:szCs w:val="20"/>
      </w:rPr>
      <w:t>007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3"/>
        <w:sz w:val="20"/>
        <w:szCs w:val="20"/>
      </w:rPr>
      <w:t>S</w:t>
    </w:r>
    <w:r w:rsidRPr="00352A9B">
      <w:rPr>
        <w:color w:val="7E7E7E"/>
        <w:sz w:val="20"/>
        <w:szCs w:val="20"/>
      </w:rPr>
      <w:t>ão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z w:val="20"/>
        <w:szCs w:val="20"/>
      </w:rPr>
      <w:t>P</w:t>
    </w:r>
    <w:r w:rsidRPr="00352A9B">
      <w:rPr>
        <w:color w:val="7E7E7E"/>
        <w:spacing w:val="-2"/>
        <w:sz w:val="20"/>
        <w:szCs w:val="20"/>
      </w:rPr>
      <w:t>a</w:t>
    </w:r>
    <w:r w:rsidRPr="00352A9B">
      <w:rPr>
        <w:color w:val="7E7E7E"/>
        <w:spacing w:val="1"/>
        <w:sz w:val="20"/>
        <w:szCs w:val="20"/>
      </w:rPr>
      <w:t>u</w:t>
    </w:r>
    <w:r w:rsidRPr="00352A9B">
      <w:rPr>
        <w:color w:val="7E7E7E"/>
        <w:spacing w:val="-1"/>
        <w:sz w:val="20"/>
        <w:szCs w:val="20"/>
      </w:rPr>
      <w:t>lo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2"/>
        <w:sz w:val="20"/>
        <w:szCs w:val="20"/>
      </w:rPr>
      <w:t xml:space="preserve"> </w:t>
    </w:r>
    <w:r w:rsidRPr="00352A9B">
      <w:rPr>
        <w:color w:val="7E7E7E"/>
        <w:sz w:val="20"/>
        <w:szCs w:val="20"/>
      </w:rPr>
      <w:t>SP,</w:t>
    </w:r>
    <w:r w:rsidRPr="00352A9B">
      <w:rPr>
        <w:color w:val="7E7E7E"/>
        <w:spacing w:val="-1"/>
        <w:sz w:val="20"/>
        <w:szCs w:val="20"/>
      </w:rPr>
      <w:t xml:space="preserve"> </w:t>
    </w:r>
    <w:r w:rsidRPr="00352A9B">
      <w:rPr>
        <w:color w:val="7E7E7E"/>
        <w:spacing w:val="1"/>
        <w:sz w:val="20"/>
        <w:szCs w:val="20"/>
      </w:rPr>
      <w:t>04531</w:t>
    </w:r>
    <w:r w:rsidRPr="00352A9B">
      <w:rPr>
        <w:color w:val="7E7E7E"/>
        <w:spacing w:val="-2"/>
        <w:sz w:val="20"/>
        <w:szCs w:val="20"/>
      </w:rPr>
      <w:t>-</w:t>
    </w:r>
    <w:r w:rsidRPr="00352A9B">
      <w:rPr>
        <w:color w:val="7E7E7E"/>
        <w:spacing w:val="1"/>
        <w:sz w:val="20"/>
        <w:szCs w:val="20"/>
      </w:rPr>
      <w:t>011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-1"/>
        <w:sz w:val="20"/>
        <w:szCs w:val="20"/>
      </w:rPr>
      <w:t xml:space="preserve"> </w:t>
    </w:r>
    <w:r w:rsidRPr="00352A9B">
      <w:rPr>
        <w:color w:val="7E7E7E"/>
        <w:spacing w:val="2"/>
        <w:sz w:val="20"/>
        <w:szCs w:val="20"/>
      </w:rPr>
      <w:t>B</w:t>
    </w:r>
    <w:r w:rsidRPr="00352A9B">
      <w:rPr>
        <w:color w:val="7E7E7E"/>
        <w:spacing w:val="-2"/>
        <w:sz w:val="20"/>
        <w:szCs w:val="20"/>
      </w:rPr>
      <w:t>r</w:t>
    </w:r>
    <w:r w:rsidRPr="00352A9B">
      <w:rPr>
        <w:color w:val="7E7E7E"/>
        <w:sz w:val="20"/>
        <w:szCs w:val="20"/>
      </w:rPr>
      <w:t>a</w:t>
    </w:r>
    <w:r w:rsidRPr="00352A9B">
      <w:rPr>
        <w:color w:val="7E7E7E"/>
        <w:spacing w:val="-1"/>
        <w:sz w:val="20"/>
        <w:szCs w:val="20"/>
      </w:rPr>
      <w:t>s</w:t>
    </w:r>
    <w:r w:rsidRPr="00352A9B">
      <w:rPr>
        <w:color w:val="7E7E7E"/>
        <w:spacing w:val="1"/>
        <w:sz w:val="20"/>
        <w:szCs w:val="20"/>
      </w:rPr>
      <w:t>i</w:t>
    </w:r>
    <w:r w:rsidRPr="00352A9B">
      <w:rPr>
        <w:color w:val="7E7E7E"/>
        <w:spacing w:val="-1"/>
        <w:sz w:val="20"/>
        <w:szCs w:val="20"/>
      </w:rPr>
      <w:t>l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1"/>
        <w:sz w:val="20"/>
        <w:szCs w:val="20"/>
      </w:rPr>
      <w:t xml:space="preserve"> </w:t>
    </w:r>
    <w:proofErr w:type="spellStart"/>
    <w:r w:rsidRPr="00352A9B">
      <w:rPr>
        <w:color w:val="7E7E7E"/>
        <w:spacing w:val="-1"/>
        <w:sz w:val="20"/>
        <w:szCs w:val="20"/>
      </w:rPr>
      <w:t>t</w:t>
    </w:r>
    <w:r w:rsidRPr="00352A9B">
      <w:rPr>
        <w:color w:val="7E7E7E"/>
        <w:sz w:val="20"/>
        <w:szCs w:val="20"/>
      </w:rPr>
      <w:t>e</w:t>
    </w:r>
    <w:r w:rsidRPr="00352A9B">
      <w:rPr>
        <w:color w:val="7E7E7E"/>
        <w:spacing w:val="-1"/>
        <w:sz w:val="20"/>
        <w:szCs w:val="20"/>
      </w:rPr>
      <w:t>l</w:t>
    </w:r>
    <w:proofErr w:type="spellEnd"/>
    <w:r w:rsidRPr="00352A9B">
      <w:rPr>
        <w:color w:val="7E7E7E"/>
        <w:sz w:val="20"/>
        <w:szCs w:val="20"/>
      </w:rPr>
      <w:t>:</w:t>
    </w:r>
    <w:r w:rsidRPr="00352A9B">
      <w:rPr>
        <w:color w:val="7E7E7E"/>
        <w:spacing w:val="2"/>
        <w:sz w:val="20"/>
        <w:szCs w:val="20"/>
      </w:rPr>
      <w:t xml:space="preserve"> </w:t>
    </w:r>
    <w:r w:rsidRPr="00352A9B">
      <w:rPr>
        <w:color w:val="7E7E7E"/>
        <w:spacing w:val="1"/>
        <w:sz w:val="20"/>
        <w:szCs w:val="20"/>
      </w:rPr>
      <w:t>+5</w:t>
    </w:r>
    <w:r w:rsidRPr="00352A9B">
      <w:rPr>
        <w:color w:val="7E7E7E"/>
        <w:sz w:val="20"/>
        <w:szCs w:val="20"/>
      </w:rPr>
      <w:t>5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1"/>
        <w:sz w:val="20"/>
        <w:szCs w:val="20"/>
      </w:rPr>
      <w:t>1</w:t>
    </w:r>
    <w:r w:rsidRPr="00352A9B">
      <w:rPr>
        <w:color w:val="7E7E7E"/>
        <w:sz w:val="20"/>
        <w:szCs w:val="20"/>
      </w:rPr>
      <w:t xml:space="preserve">1 </w:t>
    </w:r>
    <w:r w:rsidRPr="00352A9B">
      <w:rPr>
        <w:color w:val="7E7E7E"/>
        <w:spacing w:val="-1"/>
        <w:sz w:val="20"/>
        <w:szCs w:val="20"/>
      </w:rPr>
      <w:t>3</w:t>
    </w:r>
    <w:r w:rsidRPr="00352A9B">
      <w:rPr>
        <w:color w:val="7E7E7E"/>
        <w:spacing w:val="1"/>
        <w:sz w:val="20"/>
        <w:szCs w:val="20"/>
      </w:rPr>
      <w:t>0</w:t>
    </w:r>
    <w:r w:rsidRPr="00352A9B">
      <w:rPr>
        <w:color w:val="7E7E7E"/>
        <w:spacing w:val="-1"/>
        <w:sz w:val="20"/>
        <w:szCs w:val="20"/>
      </w:rPr>
      <w:t>7</w:t>
    </w:r>
    <w:r w:rsidRPr="00352A9B">
      <w:rPr>
        <w:color w:val="7E7E7E"/>
        <w:spacing w:val="1"/>
        <w:sz w:val="20"/>
        <w:szCs w:val="20"/>
      </w:rPr>
      <w:t>8</w:t>
    </w:r>
    <w:r w:rsidRPr="00352A9B">
      <w:rPr>
        <w:color w:val="7E7E7E"/>
        <w:spacing w:val="-2"/>
        <w:sz w:val="20"/>
        <w:szCs w:val="20"/>
      </w:rPr>
      <w:t>-</w:t>
    </w:r>
    <w:r w:rsidRPr="00352A9B">
      <w:rPr>
        <w:color w:val="7E7E7E"/>
        <w:spacing w:val="1"/>
        <w:sz w:val="20"/>
        <w:szCs w:val="20"/>
      </w:rPr>
      <w:t>3</w:t>
    </w:r>
    <w:r w:rsidRPr="00352A9B">
      <w:rPr>
        <w:color w:val="7E7E7E"/>
        <w:spacing w:val="-1"/>
        <w:sz w:val="20"/>
        <w:szCs w:val="20"/>
      </w:rPr>
      <w:t>76</w:t>
    </w:r>
    <w:r w:rsidRPr="00352A9B">
      <w:rPr>
        <w:color w:val="7E7E7E"/>
        <w:spacing w:val="1"/>
        <w:sz w:val="20"/>
        <w:szCs w:val="20"/>
      </w:rPr>
      <w:t>7</w:t>
    </w:r>
  </w:p>
  <w:p w14:paraId="0B670C75" w14:textId="77777777" w:rsidR="00096985" w:rsidRDefault="000969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4AC4" w14:textId="77777777" w:rsidR="00A1795D" w:rsidRDefault="00A179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BBB6" w14:textId="77777777" w:rsidR="00E1006E" w:rsidRDefault="00E1006E" w:rsidP="00096985">
      <w:pPr>
        <w:spacing w:after="0" w:line="240" w:lineRule="auto"/>
      </w:pPr>
      <w:r>
        <w:separator/>
      </w:r>
    </w:p>
  </w:footnote>
  <w:footnote w:type="continuationSeparator" w:id="0">
    <w:p w14:paraId="0CD43755" w14:textId="77777777" w:rsidR="00E1006E" w:rsidRDefault="00E1006E" w:rsidP="0009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B7CE" w14:textId="77777777" w:rsidR="00A1795D" w:rsidRDefault="00A179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4D4A" w14:textId="41FC7CCA" w:rsidR="00096985" w:rsidRDefault="00096985">
    <w:pPr>
      <w:pStyle w:val="Cabealho"/>
    </w:pPr>
    <w:r>
      <w:rPr>
        <w:noProof/>
        <w:lang w:eastAsia="pt-BR"/>
      </w:rPr>
      <w:drawing>
        <wp:inline distT="0" distB="0" distL="0" distR="0" wp14:anchorId="0E4C2A70" wp14:editId="2E6C188B">
          <wp:extent cx="5400040" cy="734087"/>
          <wp:effectExtent l="0" t="0" r="0" b="8890"/>
          <wp:docPr id="1" name="Imagem 1" descr="papel carta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 carta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78C3" w14:textId="77777777" w:rsidR="00A1795D" w:rsidRDefault="00A179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093"/>
    <w:multiLevelType w:val="hybridMultilevel"/>
    <w:tmpl w:val="2C760850"/>
    <w:lvl w:ilvl="0" w:tplc="E88CC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69DB"/>
    <w:multiLevelType w:val="hybridMultilevel"/>
    <w:tmpl w:val="6D782B1A"/>
    <w:lvl w:ilvl="0" w:tplc="79CE2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C7963"/>
    <w:multiLevelType w:val="hybridMultilevel"/>
    <w:tmpl w:val="4ECEA1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8186F"/>
    <w:multiLevelType w:val="hybridMultilevel"/>
    <w:tmpl w:val="26A4CC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E6B31"/>
    <w:multiLevelType w:val="hybridMultilevel"/>
    <w:tmpl w:val="FD9275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93650">
    <w:abstractNumId w:val="1"/>
  </w:num>
  <w:num w:numId="2" w16cid:durableId="149835810">
    <w:abstractNumId w:val="0"/>
  </w:num>
  <w:num w:numId="3" w16cid:durableId="2028940081">
    <w:abstractNumId w:val="2"/>
  </w:num>
  <w:num w:numId="4" w16cid:durableId="644897455">
    <w:abstractNumId w:val="3"/>
  </w:num>
  <w:num w:numId="5" w16cid:durableId="191878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5EC"/>
    <w:rsid w:val="00040DA2"/>
    <w:rsid w:val="00096985"/>
    <w:rsid w:val="000D3BE5"/>
    <w:rsid w:val="001F0918"/>
    <w:rsid w:val="002075DB"/>
    <w:rsid w:val="00292CF4"/>
    <w:rsid w:val="002A4D90"/>
    <w:rsid w:val="002F608D"/>
    <w:rsid w:val="00357599"/>
    <w:rsid w:val="003657DF"/>
    <w:rsid w:val="004020A8"/>
    <w:rsid w:val="004455EC"/>
    <w:rsid w:val="00576905"/>
    <w:rsid w:val="006D58EC"/>
    <w:rsid w:val="00704CC4"/>
    <w:rsid w:val="007053FE"/>
    <w:rsid w:val="00745EB6"/>
    <w:rsid w:val="00754FC1"/>
    <w:rsid w:val="007A7EDF"/>
    <w:rsid w:val="007C34BD"/>
    <w:rsid w:val="00940FA3"/>
    <w:rsid w:val="00977C24"/>
    <w:rsid w:val="00A1795D"/>
    <w:rsid w:val="00A67816"/>
    <w:rsid w:val="00A9757B"/>
    <w:rsid w:val="00AB37AD"/>
    <w:rsid w:val="00AF5E71"/>
    <w:rsid w:val="00C23AFC"/>
    <w:rsid w:val="00CB248D"/>
    <w:rsid w:val="00E1006E"/>
    <w:rsid w:val="00E159C1"/>
    <w:rsid w:val="00EB7C26"/>
    <w:rsid w:val="00EC032E"/>
    <w:rsid w:val="00F3416A"/>
    <w:rsid w:val="00F80A1E"/>
    <w:rsid w:val="00F853D0"/>
    <w:rsid w:val="00F93E31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83D2"/>
  <w15:docId w15:val="{5D6F0909-DEA2-4B28-9003-75E3E3AF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6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985"/>
  </w:style>
  <w:style w:type="paragraph" w:styleId="Rodap">
    <w:name w:val="footer"/>
    <w:basedOn w:val="Normal"/>
    <w:link w:val="RodapChar"/>
    <w:uiPriority w:val="99"/>
    <w:unhideWhenUsed/>
    <w:rsid w:val="00096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985"/>
  </w:style>
  <w:style w:type="paragraph" w:styleId="PargrafodaLista">
    <w:name w:val="List Paragraph"/>
    <w:basedOn w:val="Normal"/>
    <w:uiPriority w:val="34"/>
    <w:qFormat/>
    <w:rsid w:val="001F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 DI</dc:creator>
  <cp:keywords/>
  <dc:description/>
  <cp:lastModifiedBy>Three DI</cp:lastModifiedBy>
  <cp:revision>2</cp:revision>
  <dcterms:created xsi:type="dcterms:W3CDTF">2022-06-19T19:08:00Z</dcterms:created>
  <dcterms:modified xsi:type="dcterms:W3CDTF">2022-06-19T19:08:00Z</dcterms:modified>
</cp:coreProperties>
</file>